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484F64">
      <w:pPr>
        <w:spacing w:line="520" w:lineRule="exact"/>
        <w:jc w:val="center"/>
        <w:rPr>
          <w:rFonts w:hint="default" w:ascii="Times New Roman" w:hAnsi="Times New Roman" w:eastAsia="方正小标宋_GBK" w:cs="Times New Roman"/>
          <w:color w:val="auto"/>
          <w:spacing w:val="-20"/>
          <w:sz w:val="44"/>
          <w:szCs w:val="44"/>
          <w:highlight w:val="none"/>
          <w:lang w:eastAsia="zh-CN"/>
        </w:rPr>
      </w:pPr>
      <w:r>
        <w:rPr>
          <w:rFonts w:hint="default" w:ascii="Times New Roman" w:hAnsi="Times New Roman" w:eastAsia="方正小标宋_GBK" w:cs="Times New Roman"/>
          <w:color w:val="auto"/>
          <w:spacing w:val="-20"/>
          <w:sz w:val="44"/>
          <w:szCs w:val="44"/>
          <w:highlight w:val="none"/>
          <w:lang w:eastAsia="zh-CN"/>
        </w:rPr>
        <w:t>南京晓庄学院政府专项债券项目</w:t>
      </w:r>
    </w:p>
    <w:p w14:paraId="0FF70C4F">
      <w:pPr>
        <w:spacing w:line="520" w:lineRule="exact"/>
        <w:jc w:val="center"/>
        <w:rPr>
          <w:rFonts w:hint="default" w:ascii="Times New Roman" w:hAnsi="Times New Roman" w:eastAsia="方正小标宋_GBK" w:cs="Times New Roman"/>
          <w:color w:val="auto"/>
          <w:spacing w:val="-20"/>
          <w:sz w:val="44"/>
          <w:szCs w:val="44"/>
          <w:highlight w:val="none"/>
          <w:lang w:eastAsia="zh-CN"/>
        </w:rPr>
      </w:pPr>
      <w:r>
        <w:rPr>
          <w:rFonts w:hint="default" w:ascii="Times New Roman" w:hAnsi="Times New Roman" w:eastAsia="方正小标宋_GBK" w:cs="Times New Roman"/>
          <w:color w:val="auto"/>
          <w:spacing w:val="-20"/>
          <w:sz w:val="44"/>
          <w:szCs w:val="44"/>
          <w:highlight w:val="none"/>
          <w:lang w:val="en-US" w:eastAsia="zh-CN"/>
        </w:rPr>
        <w:t>2025年度</w:t>
      </w:r>
      <w:r>
        <w:rPr>
          <w:rFonts w:hint="default" w:ascii="Times New Roman" w:hAnsi="Times New Roman" w:eastAsia="方正小标宋_GBK" w:cs="Times New Roman"/>
          <w:color w:val="auto"/>
          <w:spacing w:val="-20"/>
          <w:sz w:val="44"/>
          <w:szCs w:val="44"/>
          <w:highlight w:val="none"/>
          <w:lang w:eastAsia="zh-CN"/>
        </w:rPr>
        <w:t>绩效自评价报告</w:t>
      </w:r>
    </w:p>
    <w:p w14:paraId="73270565">
      <w:pPr>
        <w:spacing w:line="520" w:lineRule="exact"/>
        <w:jc w:val="center"/>
        <w:rPr>
          <w:rFonts w:hint="default" w:ascii="Times New Roman" w:hAnsi="Times New Roman" w:eastAsia="楷体" w:cs="Times New Roman"/>
          <w:color w:val="auto"/>
          <w:sz w:val="30"/>
          <w:szCs w:val="30"/>
          <w:highlight w:val="none"/>
          <w:lang w:eastAsia="zh-CN"/>
        </w:rPr>
      </w:pPr>
      <w:r>
        <w:rPr>
          <w:rFonts w:hint="default" w:ascii="Times New Roman" w:hAnsi="Times New Roman" w:eastAsia="楷体" w:cs="Times New Roman"/>
          <w:color w:val="auto"/>
          <w:sz w:val="30"/>
          <w:szCs w:val="30"/>
          <w:highlight w:val="none"/>
          <w:lang w:eastAsia="zh-CN"/>
        </w:rPr>
        <w:t>（南京晓庄学院学生宿舍和实验实训楼项目）</w:t>
      </w:r>
    </w:p>
    <w:p w14:paraId="66FE4271">
      <w:pPr>
        <w:spacing w:line="560" w:lineRule="exact"/>
        <w:ind w:firstLine="640" w:firstLineChars="200"/>
        <w:jc w:val="both"/>
        <w:rPr>
          <w:rFonts w:hint="default" w:ascii="Times New Roman" w:hAnsi="Times New Roman" w:eastAsia="仿宋_GB2312" w:cs="Times New Roman"/>
          <w:color w:val="auto"/>
          <w:sz w:val="32"/>
          <w:szCs w:val="32"/>
          <w:highlight w:val="none"/>
          <w:lang w:eastAsia="zh-CN"/>
        </w:rPr>
      </w:pPr>
    </w:p>
    <w:p w14:paraId="1317BF13">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一、项目情况</w:t>
      </w:r>
    </w:p>
    <w:p w14:paraId="4D9F9AEE">
      <w:pPr>
        <w:keepNext w:val="0"/>
        <w:keepLines w:val="0"/>
        <w:pageBreakBefore w:val="0"/>
        <w:widowControl w:val="0"/>
        <w:kinsoku/>
        <w:overflowPunct/>
        <w:topLinePunct w:val="0"/>
        <w:autoSpaceDE/>
        <w:autoSpaceDN/>
        <w:bidi w:val="0"/>
        <w:adjustRightInd/>
        <w:snapToGrid/>
        <w:spacing w:line="540" w:lineRule="exact"/>
        <w:ind w:firstLine="624" w:firstLineChars="200"/>
        <w:jc w:val="both"/>
        <w:textAlignment w:val="auto"/>
        <w:rPr>
          <w:rFonts w:hint="default" w:ascii="Times New Roman" w:hAnsi="Times New Roman" w:eastAsia="楷体_GB2312" w:cs="Times New Roman"/>
          <w:b w:val="0"/>
          <w:bCs/>
          <w:color w:val="auto"/>
          <w:spacing w:val="-4"/>
          <w:sz w:val="32"/>
          <w:szCs w:val="32"/>
          <w:highlight w:val="none"/>
          <w:lang w:eastAsia="zh-CN"/>
        </w:rPr>
      </w:pPr>
      <w:r>
        <w:rPr>
          <w:rFonts w:hint="default" w:ascii="Times New Roman" w:hAnsi="Times New Roman" w:eastAsia="楷体_GB2312" w:cs="Times New Roman"/>
          <w:b w:val="0"/>
          <w:bCs/>
          <w:color w:val="auto"/>
          <w:spacing w:val="-4"/>
          <w:sz w:val="32"/>
          <w:szCs w:val="32"/>
          <w:highlight w:val="none"/>
          <w:lang w:eastAsia="zh-CN"/>
        </w:rPr>
        <w:t>（一）项目概况</w:t>
      </w:r>
    </w:p>
    <w:p w14:paraId="06442500">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该专项债资金用于南京晓庄学院方山校区新建学生宿舍和实验实训楼项目的建设，该项目包含实验实训楼、宿舍楼和配套工程。其中实验实训楼为二类高层建筑，地下一层，地上八层，包括各类教学用房、地下停车、地下人防设施等；宿舍楼为二类高层建筑，地下一层，地上九层，包括学生宿舍、地下停车场和设备用房等。</w:t>
      </w:r>
      <w:r>
        <w:rPr>
          <w:rFonts w:hint="default" w:ascii="Times New Roman" w:hAnsi="Times New Roman" w:eastAsia="仿宋_GB2312" w:cs="Times New Roman"/>
          <w:color w:val="auto"/>
          <w:sz w:val="32"/>
          <w:szCs w:val="32"/>
          <w:highlight w:val="none"/>
          <w:lang w:val="en-US" w:eastAsia="zh-CN"/>
        </w:rPr>
        <w:t>根据《</w:t>
      </w:r>
      <w:r>
        <w:rPr>
          <w:rFonts w:hint="default" w:ascii="Times New Roman" w:hAnsi="Times New Roman" w:eastAsia="仿宋_GB2312" w:cs="Times New Roman"/>
          <w:color w:val="auto"/>
          <w:sz w:val="32"/>
          <w:szCs w:val="32"/>
          <w:highlight w:val="none"/>
          <w:lang w:eastAsia="zh-CN"/>
        </w:rPr>
        <w:t>关于南京晓庄学院方山校区新建学生宿舍和实验实训楼项目初步设计及概算的批复》（</w:t>
      </w:r>
      <w:r>
        <w:rPr>
          <w:rFonts w:hint="default" w:ascii="Times New Roman" w:hAnsi="Times New Roman" w:eastAsia="仿宋_GB2312" w:cs="Times New Roman"/>
          <w:color w:val="auto"/>
          <w:sz w:val="32"/>
          <w:szCs w:val="32"/>
          <w:highlight w:val="none"/>
          <w:lang w:val="en-US" w:eastAsia="zh-CN"/>
        </w:rPr>
        <w:t>宁发改投资字〔2021〕25号），总建筑面积103787.5平方米,其中地上建筑面积89145.77平方米，地下建筑面积14641.73平方米，建设内容包括学生宿舍45894.81平方米，实验实训楼57892.69平方米。工程总概算58593.46万元，其中工程费用51402.96万元，其他费用4400.34万元，预备费2790.16万元。</w:t>
      </w:r>
    </w:p>
    <w:p w14:paraId="0EC90E92">
      <w:pPr>
        <w:keepNext w:val="0"/>
        <w:keepLines w:val="0"/>
        <w:pageBreakBefore w:val="0"/>
        <w:widowControl w:val="0"/>
        <w:kinsoku/>
        <w:overflowPunct/>
        <w:topLinePunct w:val="0"/>
        <w:autoSpaceDE/>
        <w:autoSpaceDN/>
        <w:bidi w:val="0"/>
        <w:adjustRightInd/>
        <w:snapToGrid/>
        <w:spacing w:line="540" w:lineRule="exact"/>
        <w:ind w:firstLine="624" w:firstLineChars="200"/>
        <w:jc w:val="both"/>
        <w:textAlignment w:val="auto"/>
        <w:rPr>
          <w:rFonts w:hint="default" w:ascii="Times New Roman" w:hAnsi="Times New Roman" w:eastAsia="楷体_GB2312" w:cs="Times New Roman"/>
          <w:b w:val="0"/>
          <w:bCs/>
          <w:color w:val="auto"/>
          <w:spacing w:val="-4"/>
          <w:sz w:val="32"/>
          <w:szCs w:val="32"/>
          <w:highlight w:val="none"/>
          <w:lang w:eastAsia="zh-CN"/>
        </w:rPr>
      </w:pPr>
      <w:r>
        <w:rPr>
          <w:rFonts w:hint="default" w:ascii="Times New Roman" w:hAnsi="Times New Roman" w:eastAsia="楷体_GB2312" w:cs="Times New Roman"/>
          <w:b w:val="0"/>
          <w:bCs/>
          <w:color w:val="auto"/>
          <w:spacing w:val="-4"/>
          <w:sz w:val="32"/>
          <w:szCs w:val="32"/>
          <w:highlight w:val="none"/>
          <w:lang w:eastAsia="zh-CN"/>
        </w:rPr>
        <w:t>（二）绩效目标</w:t>
      </w:r>
    </w:p>
    <w:p w14:paraId="5F429DD6">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该专项债资金投资后，用于南京晓庄学院方山校区新建学生宿舍和实验实训楼项目建设，将形成房屋建筑物类固定资产，极大改善办学条件、学生住宿条件，提高我校办学层次。</w:t>
      </w:r>
    </w:p>
    <w:p w14:paraId="5E426955">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2025年底学生宿舍楼已交付使用；实验实训楼项目建设已完工，并积极推进竣工验收，已完成白蚁防治验收，已开展工程规划核实和房产测绘，已开展各类系统检测工作。</w:t>
      </w:r>
    </w:p>
    <w:p w14:paraId="7A176C6F">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二、评价情况</w:t>
      </w:r>
    </w:p>
    <w:p w14:paraId="285BFA85">
      <w:pPr>
        <w:keepNext w:val="0"/>
        <w:keepLines w:val="0"/>
        <w:pageBreakBefore w:val="0"/>
        <w:widowControl w:val="0"/>
        <w:kinsoku/>
        <w:overflowPunct/>
        <w:topLinePunct w:val="0"/>
        <w:autoSpaceDE/>
        <w:autoSpaceDN/>
        <w:bidi w:val="0"/>
        <w:adjustRightInd/>
        <w:snapToGrid/>
        <w:spacing w:line="540" w:lineRule="exact"/>
        <w:ind w:firstLine="627"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楷体_GB2312" w:cs="Times New Roman"/>
          <w:b/>
          <w:color w:val="auto"/>
          <w:spacing w:val="-4"/>
          <w:sz w:val="32"/>
          <w:szCs w:val="32"/>
          <w:highlight w:val="none"/>
          <w:lang w:eastAsia="zh-CN"/>
        </w:rPr>
        <w:t>（一）项目特点分析</w:t>
      </w:r>
    </w:p>
    <w:p w14:paraId="68B54E64">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该专项债资金用于基本建设项目的实施，项目投资规模大、建设周期长，通过项目的实施能够有效的改善我校的办学条件和学生住宿环境，进一步提升我校的办学层次。该项目尚在建设期，</w:t>
      </w:r>
      <w:r>
        <w:rPr>
          <w:rFonts w:hint="default" w:ascii="Times New Roman" w:hAnsi="Times New Roman" w:eastAsia="仿宋_GB2312" w:cs="Times New Roman"/>
          <w:color w:val="auto"/>
          <w:sz w:val="32"/>
          <w:szCs w:val="32"/>
          <w:highlight w:val="none"/>
          <w:lang w:val="en-US" w:eastAsia="zh-CN"/>
        </w:rPr>
        <w:t>2025年</w:t>
      </w:r>
      <w:r>
        <w:rPr>
          <w:rFonts w:hint="default" w:ascii="Times New Roman" w:hAnsi="Times New Roman" w:eastAsia="仿宋_GB2312" w:cs="Times New Roman"/>
          <w:color w:val="auto"/>
          <w:sz w:val="32"/>
          <w:szCs w:val="32"/>
          <w:highlight w:val="none"/>
          <w:lang w:eastAsia="zh-CN"/>
        </w:rPr>
        <w:t>绩效评价重点在“过程”和“产出”指标评价上，主要从资金的管理、制度的建立、项目施工进度、项目施工质量、工程款结算及时性、项目成本控制等方面评价。</w:t>
      </w:r>
    </w:p>
    <w:p w14:paraId="3CB12E28">
      <w:pPr>
        <w:keepNext w:val="0"/>
        <w:keepLines w:val="0"/>
        <w:pageBreakBefore w:val="0"/>
        <w:widowControl w:val="0"/>
        <w:kinsoku/>
        <w:overflowPunct/>
        <w:topLinePunct w:val="0"/>
        <w:autoSpaceDE/>
        <w:autoSpaceDN/>
        <w:bidi w:val="0"/>
        <w:adjustRightInd/>
        <w:snapToGrid/>
        <w:spacing w:line="540" w:lineRule="exact"/>
        <w:ind w:firstLine="627" w:firstLineChars="200"/>
        <w:jc w:val="both"/>
        <w:textAlignment w:val="auto"/>
        <w:rPr>
          <w:rFonts w:hint="default" w:ascii="Times New Roman" w:hAnsi="Times New Roman" w:eastAsia="楷体_GB2312" w:cs="Times New Roman"/>
          <w:b/>
          <w:color w:val="auto"/>
          <w:spacing w:val="-4"/>
          <w:sz w:val="32"/>
          <w:szCs w:val="32"/>
          <w:highlight w:val="none"/>
          <w:lang w:eastAsia="zh-CN"/>
        </w:rPr>
      </w:pPr>
      <w:r>
        <w:rPr>
          <w:rFonts w:hint="default" w:ascii="Times New Roman" w:hAnsi="Times New Roman" w:eastAsia="楷体_GB2312" w:cs="Times New Roman"/>
          <w:b/>
          <w:color w:val="auto"/>
          <w:spacing w:val="-4"/>
          <w:sz w:val="32"/>
          <w:szCs w:val="32"/>
          <w:highlight w:val="none"/>
          <w:lang w:eastAsia="zh-CN"/>
        </w:rPr>
        <w:t>（二）评价思路方法</w:t>
      </w:r>
    </w:p>
    <w:p w14:paraId="0B1B0015">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本次自评价综合运用文献梳理、调研访谈、制定评价指标和标准、数据采集等方式进行绩效综合评价。评价指标采取定量与定性相结合、优先定量的原则。</w:t>
      </w:r>
    </w:p>
    <w:p w14:paraId="732D893A">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专项债券项目绩效自评价从“过程”、“产出”、“效益”、“满意度”四个维度来设计指标、评价标准以及指标权重等，形成了绩效评价指标体系，综合衡量该项目的实施效果。指标体系整体框架，包括4项一级指标、11项二级指标和</w:t>
      </w:r>
      <w:r>
        <w:rPr>
          <w:rFonts w:hint="default" w:ascii="Times New Roman" w:hAnsi="Times New Roman" w:eastAsia="仿宋_GB2312" w:cs="Times New Roman"/>
          <w:color w:val="auto"/>
          <w:sz w:val="32"/>
          <w:szCs w:val="32"/>
          <w:highlight w:val="none"/>
          <w:lang w:val="en-US" w:eastAsia="zh-CN"/>
        </w:rPr>
        <w:t>14</w:t>
      </w:r>
      <w:r>
        <w:rPr>
          <w:rFonts w:hint="default" w:ascii="Times New Roman" w:hAnsi="Times New Roman" w:eastAsia="仿宋_GB2312" w:cs="Times New Roman"/>
          <w:color w:val="auto"/>
          <w:sz w:val="32"/>
          <w:szCs w:val="32"/>
          <w:highlight w:val="none"/>
          <w:lang w:eastAsia="zh-CN"/>
        </w:rPr>
        <w:t>项三级指标组成。</w:t>
      </w:r>
    </w:p>
    <w:p w14:paraId="1B3A1478">
      <w:pPr>
        <w:keepNext w:val="0"/>
        <w:keepLines w:val="0"/>
        <w:pageBreakBefore w:val="0"/>
        <w:widowControl w:val="0"/>
        <w:kinsoku/>
        <w:overflowPunct/>
        <w:topLinePunct w:val="0"/>
        <w:autoSpaceDE/>
        <w:autoSpaceDN/>
        <w:bidi w:val="0"/>
        <w:adjustRightInd/>
        <w:snapToGrid/>
        <w:spacing w:line="540" w:lineRule="exact"/>
        <w:ind w:firstLine="627" w:firstLineChars="200"/>
        <w:jc w:val="both"/>
        <w:textAlignment w:val="auto"/>
        <w:rPr>
          <w:rFonts w:hint="default" w:ascii="Times New Roman" w:hAnsi="Times New Roman" w:eastAsia="楷体_GB2312" w:cs="Times New Roman"/>
          <w:b/>
          <w:color w:val="auto"/>
          <w:spacing w:val="-4"/>
          <w:sz w:val="32"/>
          <w:szCs w:val="32"/>
          <w:highlight w:val="none"/>
          <w:lang w:eastAsia="zh-CN"/>
        </w:rPr>
      </w:pPr>
      <w:r>
        <w:rPr>
          <w:rFonts w:hint="default" w:ascii="Times New Roman" w:hAnsi="Times New Roman" w:eastAsia="楷体_GB2312" w:cs="Times New Roman"/>
          <w:b/>
          <w:color w:val="auto"/>
          <w:spacing w:val="-4"/>
          <w:sz w:val="32"/>
          <w:szCs w:val="32"/>
          <w:highlight w:val="none"/>
          <w:lang w:eastAsia="zh-CN"/>
        </w:rPr>
        <w:t>（三）评价工作情况</w:t>
      </w:r>
    </w:p>
    <w:p w14:paraId="6A2FC432">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1.我校高度重视专项债项目绩效评价工作，根据市财政局通知要求，及时进行工作布置，确保绩效评价工作顺利开展。</w:t>
      </w:r>
    </w:p>
    <w:p w14:paraId="30B1DC29">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w:t>
      </w:r>
      <w:r>
        <w:rPr>
          <w:rFonts w:hint="default" w:ascii="Times New Roman" w:hAnsi="Times New Roman" w:eastAsia="仿宋_GB2312" w:cs="Times New Roman"/>
          <w:color w:val="auto"/>
          <w:sz w:val="32"/>
          <w:szCs w:val="32"/>
          <w:highlight w:val="none"/>
          <w:lang w:val="en-US" w:eastAsia="zh-CN"/>
        </w:rPr>
        <w:t>评价</w:t>
      </w:r>
      <w:r>
        <w:rPr>
          <w:rFonts w:hint="default" w:ascii="Times New Roman" w:hAnsi="Times New Roman" w:eastAsia="仿宋_GB2312" w:cs="Times New Roman"/>
          <w:color w:val="auto"/>
          <w:sz w:val="32"/>
          <w:szCs w:val="32"/>
          <w:highlight w:val="none"/>
          <w:lang w:eastAsia="zh-CN"/>
        </w:rPr>
        <w:t>专项债进展与实施效果，根据评价指标对项目进行评价，对项目进行监督、管理，了解项目实施的过程、结果，判断是否科学、合理和有效。</w:t>
      </w:r>
    </w:p>
    <w:p w14:paraId="237CB801">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3.通过定量和定性相结合、目标与结果比较、投入与效果比较等方法设置指标体系，指标体系包括标准值、完成值、权值和得分值，以此评价每个指标的最终得分。</w:t>
      </w:r>
    </w:p>
    <w:p w14:paraId="3BEDB3AE">
      <w:pPr>
        <w:keepNext w:val="0"/>
        <w:keepLines w:val="0"/>
        <w:pageBreakBefore w:val="0"/>
        <w:widowControl w:val="0"/>
        <w:kinsoku/>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4.汇总整理获取的相关业务资料，综合运用比较法、公众评判法、逻辑分析等方法进行评价分析，与有关部门进行沟通反馈，并依据制订的评价标准进行评分，完成绩效评价报告。</w:t>
      </w:r>
    </w:p>
    <w:p w14:paraId="20199F92">
      <w:pPr>
        <w:keepNext w:val="0"/>
        <w:keepLines w:val="0"/>
        <w:pageBreakBefore w:val="0"/>
        <w:widowControl w:val="0"/>
        <w:kinsoku/>
        <w:overflowPunct/>
        <w:topLinePunct w:val="0"/>
        <w:autoSpaceDE/>
        <w:autoSpaceDN/>
        <w:bidi w:val="0"/>
        <w:adjustRightInd/>
        <w:snapToGrid/>
        <w:spacing w:line="540" w:lineRule="exact"/>
        <w:ind w:firstLine="627" w:firstLineChars="200"/>
        <w:jc w:val="both"/>
        <w:textAlignment w:val="auto"/>
        <w:rPr>
          <w:rFonts w:hint="default" w:ascii="Times New Roman" w:hAnsi="Times New Roman" w:eastAsia="楷体_GB2312" w:cs="Times New Roman"/>
          <w:b/>
          <w:color w:val="auto"/>
          <w:spacing w:val="-4"/>
          <w:sz w:val="32"/>
          <w:szCs w:val="32"/>
          <w:highlight w:val="none"/>
          <w:lang w:eastAsia="zh-CN"/>
        </w:rPr>
      </w:pPr>
      <w:r>
        <w:rPr>
          <w:rFonts w:hint="default" w:ascii="Times New Roman" w:hAnsi="Times New Roman" w:eastAsia="楷体_GB2312" w:cs="Times New Roman"/>
          <w:b/>
          <w:color w:val="auto"/>
          <w:spacing w:val="-4"/>
          <w:sz w:val="32"/>
          <w:szCs w:val="32"/>
          <w:highlight w:val="none"/>
          <w:lang w:eastAsia="zh-CN"/>
        </w:rPr>
        <w:t>（四）绩效评价结论</w:t>
      </w:r>
    </w:p>
    <w:p w14:paraId="517AFB1D">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南京晓庄学院专项债绩效评价自评得分</w:t>
      </w:r>
      <w:r>
        <w:rPr>
          <w:rFonts w:hint="default" w:ascii="Times New Roman" w:hAnsi="Times New Roman" w:eastAsia="仿宋_GB2312" w:cs="Times New Roman"/>
          <w:color w:val="auto"/>
          <w:sz w:val="32"/>
          <w:szCs w:val="32"/>
          <w:highlight w:val="none"/>
          <w:lang w:val="en-US" w:eastAsia="zh-CN"/>
        </w:rPr>
        <w:t>98</w:t>
      </w:r>
      <w:r>
        <w:rPr>
          <w:rFonts w:hint="default" w:ascii="Times New Roman" w:hAnsi="Times New Roman" w:eastAsia="仿宋_GB2312" w:cs="Times New Roman"/>
          <w:color w:val="auto"/>
          <w:sz w:val="32"/>
          <w:szCs w:val="32"/>
          <w:highlight w:val="none"/>
          <w:lang w:eastAsia="zh-CN"/>
        </w:rPr>
        <w:t>分，评价等级为优。</w:t>
      </w:r>
    </w:p>
    <w:p w14:paraId="0EF44DA5">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pacing w:val="-15"/>
          <w:sz w:val="32"/>
          <w:szCs w:val="32"/>
          <w:highlight w:val="none"/>
          <w:lang w:eastAsia="zh-CN"/>
        </w:rPr>
      </w:pPr>
      <w:r>
        <w:rPr>
          <w:rFonts w:hint="default" w:ascii="Times New Roman" w:hAnsi="Times New Roman" w:eastAsia="黑体" w:cs="Times New Roman"/>
          <w:color w:val="auto"/>
          <w:sz w:val="32"/>
          <w:szCs w:val="32"/>
          <w:highlight w:val="none"/>
          <w:lang w:eastAsia="zh-CN"/>
        </w:rPr>
        <w:t>三、项目绩效</w:t>
      </w:r>
    </w:p>
    <w:p w14:paraId="7D893331">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按照专项债资金的管理使用办法等，建立健全的资金管理、支付审核等相关资金管理制度，专款专用，</w:t>
      </w:r>
      <w:r>
        <w:rPr>
          <w:rFonts w:hint="default" w:ascii="Times New Roman" w:hAnsi="Times New Roman" w:eastAsia="仿宋_GB2312" w:cs="Times New Roman"/>
          <w:color w:val="auto"/>
          <w:sz w:val="32"/>
          <w:szCs w:val="32"/>
          <w:highlight w:val="none"/>
          <w:lang w:val="en-US" w:eastAsia="zh-CN"/>
        </w:rPr>
        <w:t>该资金用</w:t>
      </w:r>
      <w:r>
        <w:rPr>
          <w:rFonts w:hint="default" w:ascii="Times New Roman" w:hAnsi="Times New Roman" w:eastAsia="仿宋_GB2312" w:cs="Times New Roman"/>
          <w:color w:val="auto"/>
          <w:sz w:val="32"/>
          <w:szCs w:val="32"/>
          <w:highlight w:val="none"/>
          <w:lang w:eastAsia="zh-CN"/>
        </w:rPr>
        <w:t>于南京晓庄学院方山校区新建学生宿舍和实验实训楼项目的建设，及时完成工程款结算和农民工工资支付，按规定报送资金使用进度和项目投资情况。</w:t>
      </w:r>
    </w:p>
    <w:p w14:paraId="431550E5">
      <w:pPr>
        <w:keepNext w:val="0"/>
        <w:keepLines w:val="0"/>
        <w:pageBreakBefore w:val="0"/>
        <w:widowControl w:val="0"/>
        <w:kinsoku/>
        <w:overflowPunct/>
        <w:topLinePunct w:val="0"/>
        <w:autoSpaceDE/>
        <w:autoSpaceDN/>
        <w:bidi w:val="0"/>
        <w:adjustRightInd/>
        <w:snapToGrid/>
        <w:spacing w:line="540" w:lineRule="exact"/>
        <w:ind w:firstLine="627" w:firstLineChars="200"/>
        <w:jc w:val="both"/>
        <w:textAlignment w:val="auto"/>
        <w:rPr>
          <w:rFonts w:hint="default" w:ascii="Times New Roman" w:hAnsi="Times New Roman" w:eastAsia="楷体_GB2312" w:cs="Times New Roman"/>
          <w:b/>
          <w:color w:val="auto"/>
          <w:spacing w:val="-4"/>
          <w:sz w:val="32"/>
          <w:szCs w:val="32"/>
          <w:highlight w:val="none"/>
          <w:lang w:eastAsia="zh-CN"/>
        </w:rPr>
      </w:pPr>
      <w:r>
        <w:rPr>
          <w:rFonts w:hint="default" w:ascii="Times New Roman" w:hAnsi="Times New Roman" w:eastAsia="楷体_GB2312" w:cs="Times New Roman"/>
          <w:b/>
          <w:color w:val="auto"/>
          <w:spacing w:val="-4"/>
          <w:sz w:val="32"/>
          <w:szCs w:val="32"/>
          <w:highlight w:val="none"/>
          <w:lang w:eastAsia="zh-CN"/>
        </w:rPr>
        <w:t>（1）过程绩效</w:t>
      </w:r>
    </w:p>
    <w:p w14:paraId="15D371FE">
      <w:pPr>
        <w:keepNext w:val="0"/>
        <w:keepLines w:val="0"/>
        <w:pageBreakBefore w:val="0"/>
        <w:widowControl w:val="0"/>
        <w:kinsoku/>
        <w:overflowPunct/>
        <w:topLinePunct w:val="0"/>
        <w:autoSpaceDE/>
        <w:autoSpaceDN/>
        <w:bidi w:val="0"/>
        <w:adjustRightInd/>
        <w:snapToGrid/>
        <w:spacing w:line="540" w:lineRule="exact"/>
        <w:ind w:firstLine="580" w:firstLineChars="200"/>
        <w:jc w:val="both"/>
        <w:textAlignment w:val="auto"/>
        <w:rPr>
          <w:rFonts w:hint="default" w:ascii="Times New Roman" w:hAnsi="Times New Roman" w:eastAsia="仿宋_GB2312" w:cs="Times New Roman"/>
          <w:color w:val="auto"/>
          <w:spacing w:val="-15"/>
          <w:sz w:val="32"/>
          <w:szCs w:val="32"/>
          <w:highlight w:val="none"/>
          <w:lang w:eastAsia="zh-CN"/>
        </w:rPr>
      </w:pPr>
      <w:r>
        <w:rPr>
          <w:rFonts w:hint="default" w:ascii="Times New Roman" w:hAnsi="Times New Roman" w:eastAsia="仿宋_GB2312" w:cs="Times New Roman"/>
          <w:color w:val="auto"/>
          <w:spacing w:val="-15"/>
          <w:sz w:val="32"/>
          <w:szCs w:val="32"/>
          <w:highlight w:val="none"/>
          <w:lang w:eastAsia="zh-CN"/>
        </w:rPr>
        <w:t>资金管理方面，该专项债资金执行率达到100%，保证每项专项债资金专款专用、经费支出合规合法；组织实施方面，建立比较健全的管理制度体系，并且保证制度执行有效。过程绩效自评价得分为30分。</w:t>
      </w:r>
    </w:p>
    <w:p w14:paraId="7E27342F">
      <w:pPr>
        <w:keepNext w:val="0"/>
        <w:keepLines w:val="0"/>
        <w:pageBreakBefore w:val="0"/>
        <w:widowControl w:val="0"/>
        <w:kinsoku/>
        <w:overflowPunct/>
        <w:topLinePunct w:val="0"/>
        <w:autoSpaceDE/>
        <w:autoSpaceDN/>
        <w:bidi w:val="0"/>
        <w:adjustRightInd/>
        <w:snapToGrid/>
        <w:spacing w:line="540" w:lineRule="exact"/>
        <w:ind w:firstLine="627" w:firstLineChars="200"/>
        <w:jc w:val="both"/>
        <w:textAlignment w:val="auto"/>
        <w:rPr>
          <w:rFonts w:hint="default" w:ascii="Times New Roman" w:hAnsi="Times New Roman" w:eastAsia="楷体_GB2312" w:cs="Times New Roman"/>
          <w:b/>
          <w:color w:val="auto"/>
          <w:spacing w:val="-4"/>
          <w:sz w:val="32"/>
          <w:szCs w:val="32"/>
          <w:highlight w:val="none"/>
          <w:lang w:eastAsia="zh-CN"/>
        </w:rPr>
      </w:pPr>
      <w:r>
        <w:rPr>
          <w:rFonts w:hint="default" w:ascii="Times New Roman" w:hAnsi="Times New Roman" w:eastAsia="楷体_GB2312" w:cs="Times New Roman"/>
          <w:b/>
          <w:color w:val="auto"/>
          <w:spacing w:val="-4"/>
          <w:sz w:val="32"/>
          <w:szCs w:val="32"/>
          <w:highlight w:val="none"/>
          <w:lang w:eastAsia="zh-CN"/>
        </w:rPr>
        <w:t>（2）产出绩效</w:t>
      </w:r>
    </w:p>
    <w:p w14:paraId="265ED132">
      <w:pPr>
        <w:keepNext w:val="0"/>
        <w:keepLines w:val="0"/>
        <w:pageBreakBefore w:val="0"/>
        <w:widowControl w:val="0"/>
        <w:kinsoku/>
        <w:overflowPunct/>
        <w:topLinePunct w:val="0"/>
        <w:autoSpaceDE/>
        <w:autoSpaceDN/>
        <w:bidi w:val="0"/>
        <w:adjustRightInd/>
        <w:snapToGrid/>
        <w:spacing w:line="540" w:lineRule="exact"/>
        <w:ind w:firstLine="580" w:firstLineChars="200"/>
        <w:jc w:val="both"/>
        <w:textAlignment w:val="auto"/>
        <w:rPr>
          <w:rFonts w:hint="default" w:ascii="Times New Roman" w:hAnsi="Times New Roman" w:eastAsia="仿宋_GB2312" w:cs="Times New Roman"/>
          <w:color w:val="auto"/>
          <w:spacing w:val="-15"/>
          <w:sz w:val="32"/>
          <w:szCs w:val="32"/>
          <w:highlight w:val="none"/>
          <w:lang w:eastAsia="zh-CN"/>
        </w:rPr>
      </w:pPr>
      <w:r>
        <w:rPr>
          <w:rFonts w:hint="default" w:ascii="Times New Roman" w:hAnsi="Times New Roman" w:eastAsia="仿宋_GB2312" w:cs="Times New Roman"/>
          <w:color w:val="auto"/>
          <w:spacing w:val="-15"/>
          <w:sz w:val="32"/>
          <w:szCs w:val="32"/>
          <w:highlight w:val="none"/>
          <w:lang w:eastAsia="zh-CN"/>
        </w:rPr>
        <w:t>数量指标方面，建设进展按照建设计划有序推进，项目中的学生宿舍楼已交付使用；实验实训楼项目建设已完工，总体折算工程量完成进度100%，但因施工方债务纠纷及疫情管控等因素影响，实际完工时间较立项计划有所滞后，</w:t>
      </w:r>
      <w:r>
        <w:rPr>
          <w:rFonts w:hint="default" w:ascii="Times New Roman" w:hAnsi="Times New Roman" w:eastAsia="仿宋_GB2312" w:cs="Times New Roman"/>
          <w:color w:val="auto"/>
          <w:spacing w:val="-15"/>
          <w:sz w:val="32"/>
          <w:szCs w:val="32"/>
          <w:highlight w:val="none"/>
          <w:lang w:val="en-US" w:eastAsia="zh-CN"/>
        </w:rPr>
        <w:t>扣2分</w:t>
      </w:r>
      <w:r>
        <w:rPr>
          <w:rFonts w:hint="default" w:ascii="Times New Roman" w:hAnsi="Times New Roman" w:eastAsia="仿宋_GB2312" w:cs="Times New Roman"/>
          <w:color w:val="auto"/>
          <w:spacing w:val="-15"/>
          <w:sz w:val="32"/>
          <w:szCs w:val="32"/>
          <w:highlight w:val="none"/>
          <w:lang w:eastAsia="zh-CN"/>
        </w:rPr>
        <w:t>。质量指标方面，项目开展前制定规范可行的可行性研究报告，并获得南京市发改委的审批通过；在项目施工过程中进行严格监管，保证工程质量，</w:t>
      </w:r>
      <w:r>
        <w:rPr>
          <w:rFonts w:hint="default" w:ascii="Times New Roman" w:hAnsi="Times New Roman" w:eastAsia="仿宋_GB2312" w:cs="Times New Roman"/>
          <w:color w:val="auto"/>
          <w:spacing w:val="-15"/>
          <w:sz w:val="32"/>
          <w:szCs w:val="32"/>
          <w:highlight w:val="none"/>
          <w:lang w:val="en-US" w:eastAsia="zh-CN"/>
        </w:rPr>
        <w:t>隐蔽</w:t>
      </w:r>
      <w:r>
        <w:rPr>
          <w:rFonts w:hint="default" w:ascii="Times New Roman" w:hAnsi="Times New Roman" w:eastAsia="仿宋_GB2312" w:cs="Times New Roman"/>
          <w:color w:val="auto"/>
          <w:spacing w:val="-15"/>
          <w:sz w:val="32"/>
          <w:szCs w:val="32"/>
          <w:highlight w:val="none"/>
          <w:lang w:eastAsia="zh-CN"/>
        </w:rPr>
        <w:t>工程验收通过率达到100%。时效性方面，工程款结算按照工程进度，保证及时支付各项工程款、农民工工资等。成本方面，严格控制项目成本，</w:t>
      </w:r>
      <w:r>
        <w:rPr>
          <w:rFonts w:hint="default" w:ascii="Times New Roman" w:hAnsi="Times New Roman" w:eastAsia="仿宋_GB2312" w:cs="Times New Roman"/>
          <w:color w:val="auto"/>
          <w:spacing w:val="-15"/>
          <w:sz w:val="32"/>
          <w:szCs w:val="32"/>
          <w:highlight w:val="none"/>
          <w:lang w:val="en-US" w:eastAsia="zh-CN"/>
        </w:rPr>
        <w:t>确保</w:t>
      </w:r>
      <w:r>
        <w:rPr>
          <w:rFonts w:hint="default" w:ascii="Times New Roman" w:hAnsi="Times New Roman" w:eastAsia="仿宋_GB2312" w:cs="Times New Roman"/>
          <w:color w:val="auto"/>
          <w:spacing w:val="-15"/>
          <w:sz w:val="32"/>
          <w:szCs w:val="32"/>
          <w:highlight w:val="none"/>
          <w:lang w:eastAsia="zh-CN"/>
        </w:rPr>
        <w:t>项目总成本不超过南京市发改委批复的项目概算</w:t>
      </w:r>
      <w:r>
        <w:rPr>
          <w:rFonts w:hint="default" w:ascii="Times New Roman" w:hAnsi="Times New Roman" w:eastAsia="仿宋_GB2312" w:cs="Times New Roman"/>
          <w:color w:val="auto"/>
          <w:spacing w:val="-15"/>
          <w:sz w:val="32"/>
          <w:szCs w:val="32"/>
          <w:highlight w:val="none"/>
          <w:lang w:eastAsia="zh-CN"/>
        </w:rPr>
        <w:t>5.86亿元。该项目尚未</w:t>
      </w:r>
      <w:r>
        <w:rPr>
          <w:rFonts w:hint="default" w:ascii="Times New Roman" w:hAnsi="Times New Roman" w:eastAsia="仿宋_GB2312" w:cs="Times New Roman"/>
          <w:color w:val="auto"/>
          <w:spacing w:val="-15"/>
          <w:sz w:val="32"/>
          <w:szCs w:val="32"/>
          <w:highlight w:val="none"/>
          <w:lang w:val="en-US" w:eastAsia="zh-CN"/>
        </w:rPr>
        <w:t>实施工程结算</w:t>
      </w:r>
      <w:r>
        <w:rPr>
          <w:rFonts w:hint="default" w:ascii="Times New Roman" w:hAnsi="Times New Roman" w:eastAsia="仿宋_GB2312" w:cs="Times New Roman"/>
          <w:color w:val="auto"/>
          <w:spacing w:val="-15"/>
          <w:sz w:val="32"/>
          <w:szCs w:val="32"/>
          <w:highlight w:val="none"/>
          <w:lang w:eastAsia="zh-CN"/>
        </w:rPr>
        <w:t>，目前项目施工成本在项目总概算控制内，未出现超预算支出</w:t>
      </w:r>
      <w:r>
        <w:rPr>
          <w:rFonts w:hint="default" w:ascii="Times New Roman" w:hAnsi="Times New Roman" w:eastAsia="仿宋_GB2312" w:cs="Times New Roman"/>
          <w:color w:val="auto"/>
          <w:spacing w:val="-15"/>
          <w:sz w:val="32"/>
          <w:szCs w:val="32"/>
          <w:highlight w:val="none"/>
          <w:lang w:eastAsia="zh-CN"/>
        </w:rPr>
        <w:t>。产出绩效自评价等分为4</w:t>
      </w:r>
      <w:r>
        <w:rPr>
          <w:rFonts w:hint="default" w:ascii="Times New Roman" w:hAnsi="Times New Roman" w:eastAsia="仿宋_GB2312" w:cs="Times New Roman"/>
          <w:color w:val="auto"/>
          <w:spacing w:val="-15"/>
          <w:sz w:val="32"/>
          <w:szCs w:val="32"/>
          <w:highlight w:val="none"/>
          <w:lang w:val="en-US" w:eastAsia="zh-CN"/>
        </w:rPr>
        <w:t>3</w:t>
      </w:r>
      <w:r>
        <w:rPr>
          <w:rFonts w:hint="default" w:ascii="Times New Roman" w:hAnsi="Times New Roman" w:eastAsia="仿宋_GB2312" w:cs="Times New Roman"/>
          <w:color w:val="auto"/>
          <w:spacing w:val="-15"/>
          <w:sz w:val="32"/>
          <w:szCs w:val="32"/>
          <w:highlight w:val="none"/>
          <w:lang w:eastAsia="zh-CN"/>
        </w:rPr>
        <w:t>分。</w:t>
      </w:r>
    </w:p>
    <w:p w14:paraId="68AA3AFF">
      <w:pPr>
        <w:keepNext w:val="0"/>
        <w:keepLines w:val="0"/>
        <w:pageBreakBefore w:val="0"/>
        <w:widowControl w:val="0"/>
        <w:kinsoku/>
        <w:overflowPunct/>
        <w:topLinePunct w:val="0"/>
        <w:autoSpaceDE/>
        <w:autoSpaceDN/>
        <w:bidi w:val="0"/>
        <w:adjustRightInd/>
        <w:snapToGrid/>
        <w:spacing w:line="540" w:lineRule="exact"/>
        <w:ind w:firstLine="627" w:firstLineChars="200"/>
        <w:jc w:val="both"/>
        <w:textAlignment w:val="auto"/>
        <w:rPr>
          <w:rFonts w:hint="default" w:ascii="Times New Roman" w:hAnsi="Times New Roman" w:eastAsia="楷体_GB2312" w:cs="Times New Roman"/>
          <w:b/>
          <w:color w:val="auto"/>
          <w:spacing w:val="-4"/>
          <w:sz w:val="32"/>
          <w:szCs w:val="32"/>
          <w:highlight w:val="none"/>
          <w:lang w:eastAsia="zh-CN"/>
        </w:rPr>
      </w:pPr>
      <w:r>
        <w:rPr>
          <w:rFonts w:hint="default" w:ascii="Times New Roman" w:hAnsi="Times New Roman" w:eastAsia="楷体_GB2312" w:cs="Times New Roman"/>
          <w:b/>
          <w:color w:val="auto"/>
          <w:spacing w:val="-4"/>
          <w:sz w:val="32"/>
          <w:szCs w:val="32"/>
          <w:highlight w:val="none"/>
          <w:lang w:eastAsia="zh-CN"/>
        </w:rPr>
        <w:t>（3）效益绩效</w:t>
      </w:r>
    </w:p>
    <w:p w14:paraId="22BBEE91">
      <w:pPr>
        <w:keepNext w:val="0"/>
        <w:keepLines w:val="0"/>
        <w:pageBreakBefore w:val="0"/>
        <w:widowControl w:val="0"/>
        <w:kinsoku/>
        <w:overflowPunct/>
        <w:topLinePunct w:val="0"/>
        <w:autoSpaceDE/>
        <w:autoSpaceDN/>
        <w:bidi w:val="0"/>
        <w:adjustRightInd/>
        <w:snapToGrid/>
        <w:spacing w:line="540" w:lineRule="exact"/>
        <w:ind w:firstLine="580" w:firstLineChars="200"/>
        <w:jc w:val="both"/>
        <w:textAlignment w:val="auto"/>
        <w:rPr>
          <w:rFonts w:hint="default" w:ascii="Times New Roman" w:hAnsi="Times New Roman" w:eastAsia="仿宋_GB2312" w:cs="Times New Roman"/>
          <w:color w:val="auto"/>
          <w:spacing w:val="-15"/>
          <w:sz w:val="32"/>
          <w:szCs w:val="32"/>
          <w:highlight w:val="none"/>
          <w:lang w:eastAsia="zh-CN"/>
        </w:rPr>
      </w:pPr>
      <w:r>
        <w:rPr>
          <w:rFonts w:hint="default" w:ascii="Times New Roman" w:hAnsi="Times New Roman" w:eastAsia="仿宋_GB2312" w:cs="Times New Roman"/>
          <w:color w:val="auto"/>
          <w:spacing w:val="-15"/>
          <w:sz w:val="32"/>
          <w:szCs w:val="32"/>
          <w:highlight w:val="none"/>
          <w:lang w:eastAsia="zh-CN"/>
        </w:rPr>
        <w:t>经济效益方面，专项债融资成本低于社会融资成本，债券利率3.18%，</w:t>
      </w:r>
      <w:r>
        <w:rPr>
          <w:rFonts w:hint="default" w:ascii="Times New Roman" w:hAnsi="Times New Roman" w:eastAsia="仿宋_GB2312" w:cs="Times New Roman"/>
          <w:color w:val="auto"/>
          <w:spacing w:val="-15"/>
          <w:sz w:val="32"/>
          <w:szCs w:val="32"/>
          <w:highlight w:val="none"/>
          <w:lang w:val="en-US" w:eastAsia="zh-CN"/>
        </w:rPr>
        <w:t>低于银行同期借款利率</w:t>
      </w:r>
      <w:r>
        <w:rPr>
          <w:rFonts w:hint="default" w:ascii="Times New Roman" w:hAnsi="Times New Roman" w:eastAsia="仿宋_GB2312" w:cs="Times New Roman"/>
          <w:color w:val="auto"/>
          <w:spacing w:val="-15"/>
          <w:sz w:val="32"/>
          <w:szCs w:val="32"/>
          <w:highlight w:val="none"/>
          <w:lang w:eastAsia="zh-CN"/>
        </w:rPr>
        <w:t>；社会效益方面，</w:t>
      </w:r>
      <w:r>
        <w:rPr>
          <w:rFonts w:hint="default" w:ascii="Times New Roman" w:hAnsi="Times New Roman" w:eastAsia="仿宋_GB2312" w:cs="Times New Roman"/>
          <w:color w:val="auto"/>
          <w:spacing w:val="-15"/>
          <w:sz w:val="32"/>
          <w:szCs w:val="32"/>
          <w:highlight w:val="none"/>
          <w:lang w:eastAsia="zh-CN"/>
        </w:rPr>
        <w:t>学生宿舍</w:t>
      </w:r>
      <w:r>
        <w:rPr>
          <w:rFonts w:hint="default" w:ascii="Times New Roman" w:hAnsi="Times New Roman" w:eastAsia="仿宋_GB2312" w:cs="Times New Roman"/>
          <w:color w:val="auto"/>
          <w:spacing w:val="-15"/>
          <w:sz w:val="32"/>
          <w:szCs w:val="32"/>
          <w:highlight w:val="none"/>
          <w:lang w:val="en-US" w:eastAsia="zh-CN"/>
        </w:rPr>
        <w:t>楼</w:t>
      </w:r>
      <w:r>
        <w:rPr>
          <w:rFonts w:hint="default" w:ascii="Times New Roman" w:hAnsi="Times New Roman" w:eastAsia="仿宋_GB2312" w:cs="Times New Roman"/>
          <w:color w:val="auto"/>
          <w:spacing w:val="-15"/>
          <w:sz w:val="32"/>
          <w:szCs w:val="32"/>
          <w:highlight w:val="none"/>
          <w:lang w:eastAsia="zh-CN"/>
        </w:rPr>
        <w:t>完工后增加39</w:t>
      </w:r>
      <w:r>
        <w:rPr>
          <w:rFonts w:hint="default" w:ascii="Times New Roman" w:hAnsi="Times New Roman" w:eastAsia="仿宋_GB2312" w:cs="Times New Roman"/>
          <w:color w:val="auto"/>
          <w:spacing w:val="-15"/>
          <w:sz w:val="32"/>
          <w:szCs w:val="32"/>
          <w:highlight w:val="none"/>
          <w:lang w:val="en-US" w:eastAsia="zh-CN"/>
        </w:rPr>
        <w:t>32</w:t>
      </w:r>
      <w:r>
        <w:rPr>
          <w:rFonts w:hint="default" w:ascii="Times New Roman" w:hAnsi="Times New Roman" w:eastAsia="仿宋_GB2312" w:cs="Times New Roman"/>
          <w:color w:val="auto"/>
          <w:spacing w:val="-15"/>
          <w:sz w:val="32"/>
          <w:szCs w:val="32"/>
          <w:highlight w:val="none"/>
          <w:lang w:eastAsia="zh-CN"/>
        </w:rPr>
        <w:t>个床位，实验实训楼完工后</w:t>
      </w:r>
      <w:r>
        <w:rPr>
          <w:rFonts w:hint="default" w:ascii="Times New Roman" w:hAnsi="Times New Roman" w:eastAsia="仿宋_GB2312" w:cs="Times New Roman"/>
          <w:color w:val="auto"/>
          <w:spacing w:val="-15"/>
          <w:sz w:val="32"/>
          <w:szCs w:val="32"/>
          <w:highlight w:val="none"/>
          <w:lang w:val="en-US" w:eastAsia="zh-CN"/>
        </w:rPr>
        <w:t>预计</w:t>
      </w:r>
      <w:r>
        <w:rPr>
          <w:rFonts w:hint="default" w:ascii="Times New Roman" w:hAnsi="Times New Roman" w:eastAsia="仿宋_GB2312" w:cs="Times New Roman"/>
          <w:color w:val="auto"/>
          <w:spacing w:val="-15"/>
          <w:sz w:val="32"/>
          <w:szCs w:val="32"/>
          <w:highlight w:val="none"/>
          <w:lang w:eastAsia="zh-CN"/>
        </w:rPr>
        <w:t>增加</w:t>
      </w:r>
      <w:r>
        <w:rPr>
          <w:rFonts w:hint="default" w:ascii="Times New Roman" w:hAnsi="Times New Roman" w:eastAsia="仿宋_GB2312" w:cs="Times New Roman"/>
          <w:color w:val="auto"/>
          <w:spacing w:val="-15"/>
          <w:sz w:val="32"/>
          <w:szCs w:val="32"/>
          <w:highlight w:val="none"/>
          <w:lang w:val="en-US" w:eastAsia="zh-CN"/>
        </w:rPr>
        <w:t>约</w:t>
      </w:r>
      <w:r>
        <w:rPr>
          <w:rFonts w:hint="default" w:ascii="Times New Roman" w:hAnsi="Times New Roman" w:eastAsia="仿宋_GB2312" w:cs="Times New Roman"/>
          <w:color w:val="auto"/>
          <w:spacing w:val="-15"/>
          <w:sz w:val="32"/>
          <w:szCs w:val="32"/>
          <w:highlight w:val="none"/>
          <w:lang w:eastAsia="zh-CN"/>
        </w:rPr>
        <w:t>260间实验实训室，</w:t>
      </w:r>
      <w:r>
        <w:rPr>
          <w:rFonts w:hint="default" w:ascii="Times New Roman" w:hAnsi="Times New Roman" w:eastAsia="仿宋_GB2312" w:cs="Times New Roman"/>
          <w:color w:val="auto"/>
          <w:spacing w:val="-15"/>
          <w:sz w:val="32"/>
          <w:szCs w:val="32"/>
          <w:highlight w:val="none"/>
          <w:lang w:eastAsia="zh-CN"/>
        </w:rPr>
        <w:t>将极大改善学校的办学条件和学生住宿条件</w:t>
      </w:r>
      <w:r>
        <w:rPr>
          <w:rFonts w:hint="default" w:ascii="Times New Roman" w:hAnsi="Times New Roman" w:eastAsia="仿宋_GB2312" w:cs="Times New Roman"/>
          <w:color w:val="auto"/>
          <w:spacing w:val="-15"/>
          <w:sz w:val="32"/>
          <w:szCs w:val="32"/>
          <w:highlight w:val="none"/>
          <w:lang w:eastAsia="zh-CN"/>
        </w:rPr>
        <w:t>，极大程度缓解学生住宿紧张和实验实训室紧张的问题</w:t>
      </w:r>
      <w:r>
        <w:rPr>
          <w:rFonts w:hint="default" w:ascii="Times New Roman" w:hAnsi="Times New Roman" w:eastAsia="仿宋_GB2312" w:cs="Times New Roman"/>
          <w:color w:val="auto"/>
          <w:spacing w:val="-15"/>
          <w:sz w:val="32"/>
          <w:szCs w:val="32"/>
          <w:highlight w:val="none"/>
          <w:lang w:eastAsia="zh-CN"/>
        </w:rPr>
        <w:t>；生态效益方面，严格遵守建设施工项目生态环保规定，</w:t>
      </w:r>
      <w:r>
        <w:rPr>
          <w:rFonts w:hint="default" w:ascii="Times New Roman" w:hAnsi="Times New Roman" w:eastAsia="仿宋_GB2312" w:cs="Times New Roman"/>
          <w:color w:val="auto"/>
          <w:spacing w:val="-15"/>
          <w:sz w:val="32"/>
          <w:szCs w:val="32"/>
          <w:highlight w:val="none"/>
          <w:lang w:eastAsia="zh-CN"/>
        </w:rPr>
        <w:t>该项目符合环评要求，生活污水采用雨污分流措施后通过污水管道排放至校内污水官网，固体废弃物通过项目设置的流动垃圾分类垃圾桶和小型垃圾站处理，噪声污染通过建筑物维护结构构件，采取有效的隔声、减噪措施，保证室内噪声级和隔声性能符合《建筑隔声评价标准》的要求</w:t>
      </w:r>
      <w:r>
        <w:rPr>
          <w:rFonts w:hint="default" w:ascii="Times New Roman" w:hAnsi="Times New Roman" w:eastAsia="仿宋_GB2312" w:cs="Times New Roman"/>
          <w:color w:val="auto"/>
          <w:spacing w:val="-15"/>
          <w:sz w:val="32"/>
          <w:szCs w:val="32"/>
          <w:highlight w:val="none"/>
          <w:lang w:eastAsia="zh-CN"/>
        </w:rPr>
        <w:t>；可持续发展方面，该项目完工</w:t>
      </w:r>
      <w:r>
        <w:rPr>
          <w:rFonts w:hint="default" w:ascii="Times New Roman" w:hAnsi="Times New Roman" w:eastAsia="仿宋_GB2312" w:cs="Times New Roman"/>
          <w:color w:val="auto"/>
          <w:spacing w:val="-15"/>
          <w:sz w:val="32"/>
          <w:szCs w:val="32"/>
          <w:highlight w:val="none"/>
          <w:lang w:eastAsia="zh-CN"/>
        </w:rPr>
        <w:t>将为学校提升办学层次提供有力的基础设施保障</w:t>
      </w:r>
      <w:r>
        <w:rPr>
          <w:rFonts w:hint="default" w:ascii="Times New Roman" w:hAnsi="Times New Roman" w:eastAsia="仿宋_GB2312" w:cs="Times New Roman"/>
          <w:color w:val="auto"/>
          <w:spacing w:val="-15"/>
          <w:sz w:val="32"/>
          <w:szCs w:val="32"/>
          <w:highlight w:val="none"/>
          <w:lang w:eastAsia="zh-CN"/>
        </w:rPr>
        <w:t>。</w:t>
      </w:r>
      <w:r>
        <w:rPr>
          <w:rFonts w:hint="default" w:ascii="Times New Roman" w:hAnsi="Times New Roman" w:eastAsia="仿宋_GB2312" w:cs="Times New Roman"/>
          <w:color w:val="auto"/>
          <w:spacing w:val="-15"/>
          <w:sz w:val="32"/>
          <w:szCs w:val="32"/>
          <w:highlight w:val="none"/>
          <w:lang w:eastAsia="zh-CN"/>
        </w:rPr>
        <w:t>效益绩效自评价得分为20分。</w:t>
      </w:r>
    </w:p>
    <w:p w14:paraId="0731A708">
      <w:pPr>
        <w:keepNext w:val="0"/>
        <w:keepLines w:val="0"/>
        <w:pageBreakBefore w:val="0"/>
        <w:widowControl w:val="0"/>
        <w:kinsoku/>
        <w:overflowPunct/>
        <w:topLinePunct w:val="0"/>
        <w:autoSpaceDE/>
        <w:autoSpaceDN/>
        <w:bidi w:val="0"/>
        <w:adjustRightInd/>
        <w:snapToGrid/>
        <w:spacing w:line="540" w:lineRule="exact"/>
        <w:ind w:firstLine="627" w:firstLineChars="200"/>
        <w:jc w:val="both"/>
        <w:textAlignment w:val="auto"/>
        <w:rPr>
          <w:rFonts w:hint="default" w:ascii="Times New Roman" w:hAnsi="Times New Roman" w:eastAsia="楷体_GB2312" w:cs="Times New Roman"/>
          <w:b/>
          <w:color w:val="auto"/>
          <w:spacing w:val="-4"/>
          <w:sz w:val="32"/>
          <w:szCs w:val="32"/>
          <w:highlight w:val="none"/>
          <w:lang w:eastAsia="zh-CN"/>
        </w:rPr>
      </w:pPr>
      <w:r>
        <w:rPr>
          <w:rFonts w:hint="default" w:ascii="Times New Roman" w:hAnsi="Times New Roman" w:eastAsia="楷体_GB2312" w:cs="Times New Roman"/>
          <w:b/>
          <w:color w:val="auto"/>
          <w:spacing w:val="-4"/>
          <w:sz w:val="32"/>
          <w:szCs w:val="32"/>
          <w:highlight w:val="none"/>
          <w:lang w:eastAsia="zh-CN"/>
        </w:rPr>
        <w:t>（4）满意度绩效</w:t>
      </w:r>
    </w:p>
    <w:p w14:paraId="6B4D9FAC">
      <w:pPr>
        <w:keepNext w:val="0"/>
        <w:keepLines w:val="0"/>
        <w:pageBreakBefore w:val="0"/>
        <w:widowControl w:val="0"/>
        <w:kinsoku/>
        <w:overflowPunct/>
        <w:topLinePunct w:val="0"/>
        <w:autoSpaceDE/>
        <w:autoSpaceDN/>
        <w:bidi w:val="0"/>
        <w:adjustRightInd/>
        <w:snapToGrid/>
        <w:spacing w:line="540" w:lineRule="exact"/>
        <w:ind w:firstLine="580" w:firstLineChars="200"/>
        <w:jc w:val="both"/>
        <w:textAlignment w:val="auto"/>
        <w:rPr>
          <w:rFonts w:hint="default" w:ascii="Times New Roman" w:hAnsi="Times New Roman" w:eastAsia="仿宋_GB2312" w:cs="Times New Roman"/>
          <w:color w:val="auto"/>
          <w:spacing w:val="-15"/>
          <w:sz w:val="32"/>
          <w:szCs w:val="32"/>
          <w:highlight w:val="none"/>
          <w:lang w:eastAsia="zh-CN"/>
        </w:rPr>
      </w:pPr>
      <w:r>
        <w:rPr>
          <w:rFonts w:hint="default" w:ascii="Times New Roman" w:hAnsi="Times New Roman" w:eastAsia="仿宋_GB2312" w:cs="Times New Roman"/>
          <w:color w:val="auto"/>
          <w:spacing w:val="-15"/>
          <w:sz w:val="32"/>
          <w:szCs w:val="32"/>
          <w:highlight w:val="none"/>
          <w:lang w:eastAsia="zh-CN"/>
        </w:rPr>
        <w:t>通过电话沟通等，该项目直接服务对象满意度达到90%以上。满意度绩效自评价等分为5分。</w:t>
      </w:r>
    </w:p>
    <w:p w14:paraId="15BEFA99">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四、存在问题</w:t>
      </w:r>
    </w:p>
    <w:p w14:paraId="0F7EDFEB">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在本项目实施全过程中，我校严格遵照相关项目管理制度、资金管理制度等各项规定执行，在确保项目施工质量达到标准要求的同时，按时足额完成各项工程款结算与支付工作。在项目决策投入、过程管理实施、最终产出效益等各个环节均表现良好。项目虽已完工，但因施工方债务纠纷及疫情管控等因素影响，实际完工时间较立项计划有所滞后。</w:t>
      </w:r>
    </w:p>
    <w:p w14:paraId="5C147492">
      <w:pPr>
        <w:keepNext w:val="0"/>
        <w:keepLines w:val="0"/>
        <w:pageBreakBefore w:val="0"/>
        <w:widowControl w:val="0"/>
        <w:kinsoku/>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pacing w:val="-4"/>
          <w:sz w:val="32"/>
          <w:szCs w:val="32"/>
          <w:highlight w:val="none"/>
          <w:lang w:eastAsia="zh-CN"/>
        </w:rPr>
      </w:pPr>
      <w:r>
        <w:rPr>
          <w:rFonts w:hint="default" w:ascii="Times New Roman" w:hAnsi="Times New Roman" w:eastAsia="黑体" w:cs="Times New Roman"/>
          <w:color w:val="auto"/>
          <w:sz w:val="32"/>
          <w:szCs w:val="32"/>
          <w:highlight w:val="none"/>
          <w:lang w:eastAsia="zh-CN"/>
        </w:rPr>
        <w:t>五、有关建议</w:t>
      </w:r>
    </w:p>
    <w:p w14:paraId="59D860FE">
      <w:pPr>
        <w:keepNext w:val="0"/>
        <w:keepLines w:val="0"/>
        <w:pageBreakBefore w:val="0"/>
        <w:widowControl w:val="0"/>
        <w:kinsoku/>
        <w:overflowPunct/>
        <w:topLinePunct w:val="0"/>
        <w:autoSpaceDE/>
        <w:autoSpaceDN/>
        <w:bidi w:val="0"/>
        <w:adjustRightInd/>
        <w:snapToGrid/>
        <w:spacing w:line="540" w:lineRule="exact"/>
        <w:ind w:firstLine="624" w:firstLineChars="200"/>
        <w:jc w:val="both"/>
        <w:textAlignment w:val="auto"/>
        <w:rPr>
          <w:rFonts w:hint="default" w:ascii="Times New Roman" w:hAnsi="Times New Roman" w:eastAsia="仿宋_GB2312" w:cs="Times New Roman"/>
          <w:color w:val="auto"/>
          <w:spacing w:val="-4"/>
          <w:sz w:val="32"/>
          <w:szCs w:val="32"/>
          <w:highlight w:val="none"/>
          <w:lang w:val="en-US" w:eastAsia="zh-CN"/>
        </w:rPr>
      </w:pPr>
      <w:r>
        <w:rPr>
          <w:rFonts w:hint="default" w:ascii="Times New Roman" w:hAnsi="Times New Roman" w:eastAsia="仿宋_GB2312" w:cs="Times New Roman"/>
          <w:color w:val="auto"/>
          <w:spacing w:val="-4"/>
          <w:sz w:val="32"/>
          <w:szCs w:val="32"/>
          <w:highlight w:val="none"/>
          <w:lang w:eastAsia="zh-CN"/>
        </w:rPr>
        <w:t>为进一步提升项目管理水平、保障项目顺利推进，我校将持续强化项目全流程管理，严格防控项目资金风险，着力提高资金使用效益。</w:t>
      </w:r>
      <w:r>
        <w:rPr>
          <w:rFonts w:hint="default" w:ascii="Times New Roman" w:hAnsi="Times New Roman" w:eastAsia="仿宋_GB2312" w:cs="Times New Roman"/>
          <w:color w:val="auto"/>
          <w:spacing w:val="-4"/>
          <w:sz w:val="32"/>
          <w:szCs w:val="32"/>
          <w:highlight w:val="none"/>
          <w:lang w:val="en-US" w:eastAsia="zh-CN"/>
        </w:rPr>
        <w:t>下一步将</w:t>
      </w:r>
      <w:r>
        <w:rPr>
          <w:rFonts w:hint="default" w:ascii="Times New Roman" w:hAnsi="Times New Roman" w:eastAsia="仿宋_GB2312" w:cs="Times New Roman"/>
          <w:color w:val="auto"/>
          <w:spacing w:val="-4"/>
          <w:sz w:val="32"/>
          <w:szCs w:val="32"/>
          <w:highlight w:val="none"/>
          <w:lang w:eastAsia="zh-CN"/>
        </w:rPr>
        <w:t>加速组织竣工验收，结算中依约核扣逾期违约金，同步推进竣工备案，确保实验实训楼尽早投入使用、尽快释放教学科研效益。</w:t>
      </w:r>
    </w:p>
    <w:p w14:paraId="576A82D0">
      <w:pPr>
        <w:keepNext w:val="0"/>
        <w:keepLines w:val="0"/>
        <w:pageBreakBefore w:val="0"/>
        <w:widowControl w:val="0"/>
        <w:kinsoku/>
        <w:overflowPunct/>
        <w:topLinePunct w:val="0"/>
        <w:autoSpaceDE/>
        <w:autoSpaceDN/>
        <w:bidi w:val="0"/>
        <w:adjustRightInd/>
        <w:snapToGrid/>
        <w:spacing w:line="540" w:lineRule="exact"/>
        <w:ind w:firstLine="624" w:firstLineChars="200"/>
        <w:jc w:val="both"/>
        <w:textAlignment w:val="auto"/>
        <w:rPr>
          <w:rFonts w:hint="default" w:ascii="Times New Roman" w:hAnsi="Times New Roman" w:eastAsia="仿宋_GB2312" w:cs="Times New Roman"/>
          <w:color w:val="auto"/>
          <w:spacing w:val="-4"/>
          <w:sz w:val="32"/>
          <w:szCs w:val="32"/>
          <w:highlight w:val="none"/>
          <w:lang w:val="en-US" w:eastAsia="zh-CN"/>
        </w:rPr>
      </w:pPr>
    </w:p>
    <w:p w14:paraId="05F5082E">
      <w:pPr>
        <w:keepNext w:val="0"/>
        <w:keepLines w:val="0"/>
        <w:pageBreakBefore w:val="0"/>
        <w:widowControl w:val="0"/>
        <w:kinsoku/>
        <w:overflowPunct/>
        <w:topLinePunct w:val="0"/>
        <w:autoSpaceDE/>
        <w:autoSpaceDN/>
        <w:bidi w:val="0"/>
        <w:adjustRightInd/>
        <w:snapToGrid/>
        <w:spacing w:line="540" w:lineRule="exact"/>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pacing w:val="-4"/>
          <w:sz w:val="32"/>
          <w:szCs w:val="32"/>
          <w:highlight w:val="none"/>
          <w:lang w:eastAsia="zh-CN"/>
        </w:rPr>
        <w:t>附件：江苏省政府专项债券项目资金绩效年度自评价情况表</w:t>
      </w:r>
    </w:p>
    <w:p w14:paraId="27327983">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jc w:val="right"/>
        <w:textAlignment w:val="auto"/>
        <w:rPr>
          <w:rFonts w:hint="default" w:ascii="Times New Roman" w:hAnsi="Times New Roman" w:eastAsia="仿宋_GB2312" w:cs="Times New Roman"/>
          <w:color w:val="auto"/>
          <w:sz w:val="32"/>
          <w:szCs w:val="32"/>
          <w:highlight w:val="none"/>
          <w:lang w:val="en-US" w:eastAsia="zh-CN"/>
        </w:rPr>
      </w:pPr>
    </w:p>
    <w:p w14:paraId="564F61F7">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jc w:val="right"/>
        <w:textAlignment w:val="auto"/>
        <w:rPr>
          <w:rFonts w:hint="default" w:ascii="Times New Roman" w:hAnsi="Times New Roman" w:eastAsia="仿宋_GB2312" w:cs="Times New Roman"/>
          <w:color w:val="auto"/>
          <w:sz w:val="32"/>
          <w:szCs w:val="32"/>
          <w:highlight w:val="none"/>
          <w:lang w:val="en-US" w:eastAsia="zh-CN"/>
        </w:rPr>
      </w:pPr>
      <w:bookmarkStart w:id="0" w:name="_GoBack"/>
      <w:bookmarkEnd w:id="0"/>
      <w:r>
        <w:rPr>
          <w:rFonts w:hint="default" w:ascii="Times New Roman" w:hAnsi="Times New Roman" w:eastAsia="仿宋_GB2312" w:cs="Times New Roman"/>
          <w:color w:val="auto"/>
          <w:sz w:val="32"/>
          <w:szCs w:val="32"/>
          <w:highlight w:val="none"/>
          <w:lang w:val="en-US" w:eastAsia="zh-CN"/>
        </w:rPr>
        <w:t xml:space="preserve">南京晓庄学院 </w:t>
      </w:r>
    </w:p>
    <w:p w14:paraId="7ED9F0FA">
      <w:pPr>
        <w:keepNext w:val="0"/>
        <w:keepLines w:val="0"/>
        <w:pageBreakBefore w:val="0"/>
        <w:widowControl w:val="0"/>
        <w:kinsoku/>
        <w:overflowPunct/>
        <w:topLinePunct w:val="0"/>
        <w:autoSpaceDE/>
        <w:autoSpaceDN/>
        <w:bidi w:val="0"/>
        <w:adjustRightInd/>
        <w:snapToGrid/>
        <w:spacing w:line="540" w:lineRule="exact"/>
        <w:ind w:firstLine="640" w:firstLineChars="200"/>
        <w:jc w:val="right"/>
        <w:textAlignment w:val="auto"/>
        <w:rPr>
          <w:rFonts w:hint="default" w:ascii="Times New Roman" w:hAnsi="Times New Roman" w:eastAsia="仿宋_GB2312" w:cs="Times New Roman"/>
          <w:color w:val="auto"/>
          <w:sz w:val="32"/>
          <w:szCs w:val="32"/>
          <w:highlight w:val="none"/>
          <w:lang w:val="en-US" w:eastAsia="zh-CN"/>
        </w:rPr>
        <w:sectPr>
          <w:footerReference r:id="rId3" w:type="default"/>
          <w:type w:val="continuous"/>
          <w:pgSz w:w="11910" w:h="16840"/>
          <w:pgMar w:top="2098" w:right="1587" w:bottom="2098" w:left="1587" w:header="720" w:footer="720" w:gutter="0"/>
          <w:pgBorders>
            <w:top w:val="none" w:sz="0" w:space="0"/>
            <w:left w:val="none" w:sz="0" w:space="0"/>
            <w:bottom w:val="none" w:sz="0" w:space="0"/>
            <w:right w:val="none" w:sz="0" w:space="0"/>
          </w:pgBorders>
          <w:pgNumType w:fmt="numberInDash"/>
          <w:cols w:space="720" w:num="1"/>
        </w:sectPr>
      </w:pPr>
      <w:r>
        <w:rPr>
          <w:rFonts w:hint="default" w:ascii="Times New Roman" w:hAnsi="Times New Roman" w:eastAsia="仿宋_GB2312" w:cs="Times New Roman"/>
          <w:color w:val="auto"/>
          <w:sz w:val="32"/>
          <w:szCs w:val="32"/>
          <w:highlight w:val="none"/>
          <w:lang w:val="en-US" w:eastAsia="zh-CN"/>
        </w:rPr>
        <w:t>2026年6月24日</w:t>
      </w:r>
    </w:p>
    <w:p w14:paraId="7B306C1F">
      <w:pPr>
        <w:spacing w:line="560" w:lineRule="exact"/>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附件</w:t>
      </w:r>
    </w:p>
    <w:tbl>
      <w:tblPr>
        <w:tblStyle w:val="9"/>
        <w:tblW w:w="13984" w:type="dxa"/>
        <w:tblInd w:w="-32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57"/>
        <w:gridCol w:w="1146"/>
        <w:gridCol w:w="1841"/>
        <w:gridCol w:w="1902"/>
        <w:gridCol w:w="3402"/>
        <w:gridCol w:w="893"/>
        <w:gridCol w:w="820"/>
        <w:gridCol w:w="2623"/>
      </w:tblGrid>
      <w:tr w14:paraId="71579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13984" w:type="dxa"/>
            <w:gridSpan w:val="8"/>
            <w:tcBorders>
              <w:top w:val="nil"/>
              <w:left w:val="nil"/>
              <w:bottom w:val="nil"/>
              <w:right w:val="nil"/>
            </w:tcBorders>
            <w:shd w:val="clear" w:color="auto" w:fill="auto"/>
            <w:vAlign w:val="center"/>
          </w:tcPr>
          <w:p w14:paraId="408158BD">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4"/>
                <w:szCs w:val="44"/>
                <w:u w:val="none"/>
              </w:rPr>
            </w:pPr>
            <w:r>
              <w:rPr>
                <w:rFonts w:hint="eastAsia" w:ascii="方正小标宋_GBK" w:hAnsi="方正小标宋_GBK" w:eastAsia="方正小标宋_GBK" w:cs="方正小标宋_GBK"/>
                <w:i w:val="0"/>
                <w:iCs w:val="0"/>
                <w:color w:val="000000"/>
                <w:kern w:val="0"/>
                <w:sz w:val="44"/>
                <w:szCs w:val="44"/>
                <w:u w:val="none"/>
                <w:lang w:val="en-US" w:eastAsia="zh-CN" w:bidi="ar"/>
              </w:rPr>
              <w:t>江苏省政府专项债券项目资金绩效年度自评价情况表</w:t>
            </w:r>
          </w:p>
        </w:tc>
      </w:tr>
      <w:tr w14:paraId="19645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3984" w:type="dxa"/>
            <w:gridSpan w:val="8"/>
            <w:tcBorders>
              <w:top w:val="nil"/>
              <w:left w:val="nil"/>
              <w:bottom w:val="nil"/>
              <w:right w:val="nil"/>
            </w:tcBorders>
            <w:shd w:val="clear" w:color="auto" w:fill="auto"/>
            <w:vAlign w:val="center"/>
          </w:tcPr>
          <w:p w14:paraId="334AD2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评价债券资金使用年度：</w:t>
            </w:r>
            <w:r>
              <w:rPr>
                <w:rFonts w:hint="default" w:ascii="Times New Roman" w:hAnsi="Times New Roman" w:eastAsia="宋体" w:cs="Times New Roman"/>
                <w:i w:val="0"/>
                <w:iCs w:val="0"/>
                <w:color w:val="000000"/>
                <w:kern w:val="0"/>
                <w:sz w:val="20"/>
                <w:szCs w:val="20"/>
                <w:u w:val="none"/>
                <w:lang w:val="en-US" w:eastAsia="zh-CN" w:bidi="ar"/>
              </w:rPr>
              <w:t>2025</w:t>
            </w:r>
            <w:r>
              <w:rPr>
                <w:rFonts w:hint="eastAsia" w:ascii="宋体" w:hAnsi="宋体" w:eastAsia="宋体" w:cs="宋体"/>
                <w:i w:val="0"/>
                <w:iCs w:val="0"/>
                <w:color w:val="000000"/>
                <w:kern w:val="0"/>
                <w:sz w:val="20"/>
                <w:szCs w:val="20"/>
                <w:u w:val="none"/>
                <w:lang w:val="en-US" w:eastAsia="zh-CN" w:bidi="ar"/>
              </w:rPr>
              <w:t>年度</w:t>
            </w:r>
          </w:p>
        </w:tc>
      </w:tr>
      <w:tr w14:paraId="3FF72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5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A28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714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455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南京晓庄学院方山校区新建学生宿舍和实验实训楼项目</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F622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建设/运营单位（盖章）</w:t>
            </w:r>
          </w:p>
        </w:tc>
        <w:tc>
          <w:tcPr>
            <w:tcW w:w="2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922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南京晓庄学院</w:t>
            </w:r>
          </w:p>
        </w:tc>
      </w:tr>
      <w:tr w14:paraId="25D4F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250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AD3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国家重大项目库代码</w:t>
            </w:r>
          </w:p>
        </w:tc>
        <w:tc>
          <w:tcPr>
            <w:tcW w:w="714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858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2019-320115-83-01-370906</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8C85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地债管理系统项目编码</w:t>
            </w:r>
          </w:p>
        </w:tc>
        <w:tc>
          <w:tcPr>
            <w:tcW w:w="2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F0568">
            <w:pPr>
              <w:jc w:val="center"/>
              <w:rPr>
                <w:rFonts w:hint="eastAsia" w:ascii="宋体" w:hAnsi="宋体" w:eastAsia="宋体" w:cs="宋体"/>
                <w:i w:val="0"/>
                <w:iCs w:val="0"/>
                <w:color w:val="000000"/>
                <w:sz w:val="22"/>
                <w:szCs w:val="22"/>
                <w:u w:val="none"/>
              </w:rPr>
            </w:pPr>
          </w:p>
        </w:tc>
      </w:tr>
      <w:tr w14:paraId="19EC6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3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E98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项目累计发行专项债券总额（亿元）</w:t>
            </w:r>
          </w:p>
        </w:tc>
        <w:tc>
          <w:tcPr>
            <w:tcW w:w="530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63E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7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CEC8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项目已实际使用专项债券总额（亿元）</w:t>
            </w:r>
          </w:p>
        </w:tc>
        <w:tc>
          <w:tcPr>
            <w:tcW w:w="2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173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r>
      <w:tr w14:paraId="3F02F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E85A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总体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目标</w:t>
            </w:r>
          </w:p>
        </w:tc>
        <w:tc>
          <w:tcPr>
            <w:tcW w:w="8291" w:type="dxa"/>
            <w:gridSpan w:val="4"/>
            <w:tcBorders>
              <w:top w:val="single" w:color="000000" w:sz="4" w:space="0"/>
              <w:left w:val="single" w:color="000000" w:sz="4" w:space="0"/>
              <w:bottom w:val="nil"/>
              <w:right w:val="single" w:color="000000" w:sz="4" w:space="0"/>
            </w:tcBorders>
            <w:shd w:val="clear" w:color="auto" w:fill="auto"/>
            <w:vAlign w:val="center"/>
          </w:tcPr>
          <w:p w14:paraId="635B41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预期目标</w:t>
            </w:r>
          </w:p>
        </w:tc>
        <w:tc>
          <w:tcPr>
            <w:tcW w:w="4336" w:type="dxa"/>
            <w:gridSpan w:val="3"/>
            <w:tcBorders>
              <w:top w:val="single" w:color="000000" w:sz="4" w:space="0"/>
              <w:left w:val="single" w:color="000000" w:sz="4" w:space="0"/>
              <w:bottom w:val="nil"/>
              <w:right w:val="single" w:color="000000" w:sz="4" w:space="0"/>
            </w:tcBorders>
            <w:shd w:val="clear" w:color="auto" w:fill="auto"/>
            <w:vAlign w:val="center"/>
          </w:tcPr>
          <w:p w14:paraId="54CD27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实际完成情况</w:t>
            </w:r>
          </w:p>
        </w:tc>
      </w:tr>
      <w:tr w14:paraId="306CE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0" w:hRule="atLeast"/>
        </w:trPr>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904AC">
            <w:pPr>
              <w:jc w:val="center"/>
              <w:rPr>
                <w:rFonts w:hint="eastAsia" w:ascii="宋体" w:hAnsi="宋体" w:eastAsia="宋体" w:cs="宋体"/>
                <w:i w:val="0"/>
                <w:iCs w:val="0"/>
                <w:color w:val="000000"/>
                <w:sz w:val="22"/>
                <w:szCs w:val="22"/>
                <w:u w:val="none"/>
              </w:rPr>
            </w:pPr>
          </w:p>
        </w:tc>
        <w:tc>
          <w:tcPr>
            <w:tcW w:w="8291" w:type="dxa"/>
            <w:gridSpan w:val="4"/>
            <w:tcBorders>
              <w:top w:val="single" w:color="000000" w:sz="4" w:space="0"/>
              <w:left w:val="single" w:color="000000" w:sz="4" w:space="0"/>
              <w:bottom w:val="nil"/>
              <w:right w:val="single" w:color="000000" w:sz="4" w:space="0"/>
            </w:tcBorders>
            <w:shd w:val="clear" w:color="auto" w:fill="auto"/>
            <w:vAlign w:val="center"/>
          </w:tcPr>
          <w:p w14:paraId="57B30C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该专项债资金投入南京晓庄学院方山校区新建学生宿舍和实验实训楼项目建设，项目主体结构已完工，2025年度开展设施设备安装、建筑内部装饰装修工程施工、部分幕墙工程施工、室外雨污管网施工、景观绿化工程施工及道路修复工作等。预计2025年底项目建设完工，并开展相关验收和工程结算工作。</w:t>
            </w:r>
          </w:p>
        </w:tc>
        <w:tc>
          <w:tcPr>
            <w:tcW w:w="4336" w:type="dxa"/>
            <w:gridSpan w:val="3"/>
            <w:tcBorders>
              <w:top w:val="single" w:color="000000" w:sz="4" w:space="0"/>
              <w:left w:val="single" w:color="000000" w:sz="4" w:space="0"/>
              <w:bottom w:val="nil"/>
              <w:right w:val="single" w:color="000000" w:sz="4" w:space="0"/>
            </w:tcBorders>
            <w:shd w:val="clear" w:color="auto" w:fill="auto"/>
            <w:vAlign w:val="center"/>
          </w:tcPr>
          <w:p w14:paraId="61BD12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该专项债资金投入南京晓庄学院方山校区新建学生宿舍和实验实训楼项目建设，2025年底学生宿舍楼已交付使用；实验实训楼项目建设已完工，并积极推进竣工验收工作和工程结算工作，已完成白蚁防治验收，已开展工程规划核实和房产测绘，已开展各类系统检测工作。</w:t>
            </w:r>
          </w:p>
        </w:tc>
      </w:tr>
      <w:tr w14:paraId="63296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3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9674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一级指标</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22F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二级指标</w:t>
            </w:r>
          </w:p>
        </w:tc>
        <w:tc>
          <w:tcPr>
            <w:tcW w:w="1148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6610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评价年度绩效目标自评完成情况</w:t>
            </w:r>
          </w:p>
        </w:tc>
      </w:tr>
      <w:tr w14:paraId="25A9F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B832B">
            <w:pPr>
              <w:jc w:val="center"/>
              <w:rPr>
                <w:rFonts w:hint="eastAsia" w:ascii="宋体" w:hAnsi="宋体" w:eastAsia="宋体" w:cs="宋体"/>
                <w:i w:val="0"/>
                <w:iCs w:val="0"/>
                <w:color w:val="000000"/>
                <w:sz w:val="22"/>
                <w:szCs w:val="22"/>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CA424">
            <w:pPr>
              <w:jc w:val="center"/>
              <w:rPr>
                <w:rFonts w:hint="eastAsia" w:ascii="宋体" w:hAnsi="宋体" w:eastAsia="宋体" w:cs="宋体"/>
                <w:i w:val="0"/>
                <w:iCs w:val="0"/>
                <w:color w:val="000000"/>
                <w:sz w:val="22"/>
                <w:szCs w:val="22"/>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33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三级指标</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3ED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年度</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指标值</w:t>
            </w:r>
          </w:p>
        </w:tc>
        <w:tc>
          <w:tcPr>
            <w:tcW w:w="3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B83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完成值</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377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分值</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5CE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得分</w:t>
            </w:r>
          </w:p>
        </w:tc>
        <w:tc>
          <w:tcPr>
            <w:tcW w:w="2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D7E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评分依据</w:t>
            </w:r>
          </w:p>
        </w:tc>
      </w:tr>
      <w:tr w14:paraId="03E62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8E90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过程</w:t>
            </w: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F56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资金管理</w:t>
            </w:r>
          </w:p>
        </w:tc>
        <w:tc>
          <w:tcPr>
            <w:tcW w:w="1841" w:type="dxa"/>
            <w:tcBorders>
              <w:top w:val="nil"/>
              <w:left w:val="single" w:color="000000" w:sz="4" w:space="0"/>
              <w:bottom w:val="single" w:color="000000" w:sz="4" w:space="0"/>
              <w:right w:val="single" w:color="000000" w:sz="4" w:space="0"/>
            </w:tcBorders>
            <w:shd w:val="clear" w:color="auto" w:fill="auto"/>
            <w:vAlign w:val="center"/>
          </w:tcPr>
          <w:p w14:paraId="57DCD0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专项债资金执行率</w:t>
            </w:r>
          </w:p>
        </w:tc>
        <w:tc>
          <w:tcPr>
            <w:tcW w:w="1902" w:type="dxa"/>
            <w:tcBorders>
              <w:top w:val="nil"/>
              <w:left w:val="single" w:color="000000" w:sz="4" w:space="0"/>
              <w:bottom w:val="single" w:color="000000" w:sz="4" w:space="0"/>
              <w:right w:val="single" w:color="000000" w:sz="4" w:space="0"/>
            </w:tcBorders>
            <w:shd w:val="clear" w:color="auto" w:fill="auto"/>
            <w:noWrap/>
            <w:vAlign w:val="center"/>
          </w:tcPr>
          <w:p w14:paraId="02CC98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402" w:type="dxa"/>
            <w:tcBorders>
              <w:top w:val="nil"/>
              <w:left w:val="single" w:color="000000" w:sz="4" w:space="0"/>
              <w:bottom w:val="single" w:color="000000" w:sz="4" w:space="0"/>
              <w:right w:val="single" w:color="000000" w:sz="4" w:space="0"/>
            </w:tcBorders>
            <w:shd w:val="clear" w:color="auto" w:fill="auto"/>
            <w:noWrap/>
            <w:vAlign w:val="center"/>
          </w:tcPr>
          <w:p w14:paraId="06A42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5F9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4D6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72F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执行率100%</w:t>
            </w:r>
          </w:p>
        </w:tc>
      </w:tr>
      <w:tr w14:paraId="6DE98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0C60B">
            <w:pPr>
              <w:jc w:val="center"/>
              <w:rPr>
                <w:rFonts w:hint="eastAsia" w:ascii="宋体" w:hAnsi="宋体" w:eastAsia="宋体" w:cs="宋体"/>
                <w:i w:val="0"/>
                <w:iCs w:val="0"/>
                <w:color w:val="000000"/>
                <w:sz w:val="22"/>
                <w:szCs w:val="22"/>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CE999">
            <w:pPr>
              <w:jc w:val="center"/>
              <w:rPr>
                <w:rFonts w:hint="eastAsia" w:ascii="宋体" w:hAnsi="宋体" w:eastAsia="宋体" w:cs="宋体"/>
                <w:i w:val="0"/>
                <w:iCs w:val="0"/>
                <w:color w:val="000000"/>
                <w:sz w:val="22"/>
                <w:szCs w:val="22"/>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468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经费支出合规性</w:t>
            </w:r>
          </w:p>
        </w:tc>
        <w:tc>
          <w:tcPr>
            <w:tcW w:w="1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A3C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合规</w:t>
            </w:r>
          </w:p>
        </w:tc>
        <w:tc>
          <w:tcPr>
            <w:tcW w:w="34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CF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合规</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EDC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76A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04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专款专用，严格按照相关资金管理办法执行</w:t>
            </w:r>
          </w:p>
        </w:tc>
      </w:tr>
      <w:tr w14:paraId="78384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CCB24">
            <w:pPr>
              <w:jc w:val="center"/>
              <w:rPr>
                <w:rFonts w:hint="eastAsia" w:ascii="宋体" w:hAnsi="宋体" w:eastAsia="宋体" w:cs="宋体"/>
                <w:i w:val="0"/>
                <w:iCs w:val="0"/>
                <w:color w:val="000000"/>
                <w:sz w:val="22"/>
                <w:szCs w:val="22"/>
                <w:u w:val="none"/>
              </w:rPr>
            </w:pP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2D4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组织实施</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2DD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管理制度体系健全性</w:t>
            </w:r>
          </w:p>
        </w:tc>
        <w:tc>
          <w:tcPr>
            <w:tcW w:w="1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552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健全</w:t>
            </w:r>
          </w:p>
        </w:tc>
        <w:tc>
          <w:tcPr>
            <w:tcW w:w="34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FAD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健全</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CFB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29D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22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建立相关财务管理制度、业务管理制度</w:t>
            </w:r>
          </w:p>
        </w:tc>
      </w:tr>
      <w:tr w14:paraId="3A5D6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FC982">
            <w:pPr>
              <w:jc w:val="center"/>
              <w:rPr>
                <w:rFonts w:hint="eastAsia" w:ascii="宋体" w:hAnsi="宋体" w:eastAsia="宋体" w:cs="宋体"/>
                <w:i w:val="0"/>
                <w:iCs w:val="0"/>
                <w:color w:val="000000"/>
                <w:sz w:val="22"/>
                <w:szCs w:val="22"/>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1C2D9">
            <w:pPr>
              <w:jc w:val="center"/>
              <w:rPr>
                <w:rFonts w:hint="eastAsia" w:ascii="宋体" w:hAnsi="宋体" w:eastAsia="宋体" w:cs="宋体"/>
                <w:i w:val="0"/>
                <w:iCs w:val="0"/>
                <w:color w:val="000000"/>
                <w:sz w:val="22"/>
                <w:szCs w:val="22"/>
                <w:u w:val="none"/>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7C9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制度执行有效性</w:t>
            </w:r>
          </w:p>
        </w:tc>
        <w:tc>
          <w:tcPr>
            <w:tcW w:w="1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739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有效</w:t>
            </w:r>
          </w:p>
        </w:tc>
        <w:tc>
          <w:tcPr>
            <w:tcW w:w="34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2C4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有效</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FAB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B17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2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C28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单位内控制度健全</w:t>
            </w:r>
          </w:p>
        </w:tc>
      </w:tr>
      <w:tr w14:paraId="263CB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0" w:hRule="atLeast"/>
        </w:trPr>
        <w:tc>
          <w:tcPr>
            <w:tcW w:w="13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EBEC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产出</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439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数量指标</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06E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项目施工完成率</w:t>
            </w:r>
          </w:p>
        </w:tc>
        <w:tc>
          <w:tcPr>
            <w:tcW w:w="1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7B1D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=100%</w:t>
            </w:r>
          </w:p>
        </w:tc>
        <w:tc>
          <w:tcPr>
            <w:tcW w:w="3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D67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建设进展按照建设计划有序推进，项目中的学生宿舍楼已交付使用；实验实训楼项目建设已完工，并积极推进竣工验收工作，总体折算工程量完成进度100%。</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27A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638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F2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验收材料</w:t>
            </w:r>
          </w:p>
        </w:tc>
      </w:tr>
      <w:tr w14:paraId="5483C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F75CD">
            <w:pPr>
              <w:jc w:val="center"/>
              <w:rPr>
                <w:rFonts w:hint="eastAsia" w:ascii="宋体" w:hAnsi="宋体" w:eastAsia="宋体" w:cs="宋体"/>
                <w:i w:val="0"/>
                <w:iCs w:val="0"/>
                <w:color w:val="000000"/>
                <w:sz w:val="22"/>
                <w:szCs w:val="22"/>
                <w:u w:val="none"/>
              </w:rPr>
            </w:pPr>
          </w:p>
        </w:tc>
        <w:tc>
          <w:tcPr>
            <w:tcW w:w="11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2A5A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质量指标</w:t>
            </w:r>
          </w:p>
        </w:tc>
        <w:tc>
          <w:tcPr>
            <w:tcW w:w="1841" w:type="dxa"/>
            <w:tcBorders>
              <w:top w:val="single" w:color="000000" w:sz="4" w:space="0"/>
              <w:left w:val="single" w:color="000000" w:sz="4" w:space="0"/>
              <w:bottom w:val="single" w:color="000000" w:sz="4" w:space="0"/>
              <w:right w:val="nil"/>
            </w:tcBorders>
            <w:shd w:val="clear" w:color="auto" w:fill="auto"/>
            <w:vAlign w:val="center"/>
          </w:tcPr>
          <w:p w14:paraId="74827D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可行性研究规范性</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9B0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项目可行性材料获发改委批复</w:t>
            </w:r>
          </w:p>
        </w:tc>
        <w:tc>
          <w:tcPr>
            <w:tcW w:w="3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5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项目施工可行性材料已获得市发改委批复，《关于南京晓庄学院方山校区新建学生宿舍和实验实训楼项目可行性研究报告的批复》（宁发改投资字</w:t>
            </w:r>
            <w:r>
              <w:rPr>
                <w:rFonts w:ascii="微软雅黑" w:hAnsi="微软雅黑" w:eastAsia="微软雅黑" w:cs="微软雅黑"/>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2019</w:t>
            </w:r>
            <w:r>
              <w:rPr>
                <w:rFonts w:ascii="微软雅黑" w:hAnsi="微软雅黑" w:eastAsia="微软雅黑" w:cs="微软雅黑"/>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825号）</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12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9F3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F17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可行性批复材料</w:t>
            </w:r>
          </w:p>
        </w:tc>
      </w:tr>
      <w:tr w14:paraId="17ED2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E13159">
            <w:pPr>
              <w:jc w:val="center"/>
              <w:rPr>
                <w:rFonts w:hint="eastAsia" w:ascii="宋体" w:hAnsi="宋体" w:eastAsia="宋体" w:cs="宋体"/>
                <w:i w:val="0"/>
                <w:iCs w:val="0"/>
                <w:color w:val="000000"/>
                <w:sz w:val="22"/>
                <w:szCs w:val="22"/>
                <w:u w:val="none"/>
              </w:rPr>
            </w:pPr>
          </w:p>
        </w:tc>
        <w:tc>
          <w:tcPr>
            <w:tcW w:w="11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2752F">
            <w:pPr>
              <w:jc w:val="center"/>
              <w:rPr>
                <w:rFonts w:hint="eastAsia" w:ascii="宋体" w:hAnsi="宋体" w:eastAsia="宋体" w:cs="宋体"/>
                <w:i w:val="0"/>
                <w:iCs w:val="0"/>
                <w:color w:val="000000"/>
                <w:sz w:val="22"/>
                <w:szCs w:val="22"/>
                <w:u w:val="none"/>
              </w:rPr>
            </w:pPr>
          </w:p>
        </w:tc>
        <w:tc>
          <w:tcPr>
            <w:tcW w:w="1841" w:type="dxa"/>
            <w:tcBorders>
              <w:top w:val="single" w:color="000000" w:sz="4" w:space="0"/>
              <w:left w:val="single" w:color="000000" w:sz="4" w:space="0"/>
              <w:bottom w:val="single" w:color="000000" w:sz="4" w:space="0"/>
              <w:right w:val="nil"/>
            </w:tcBorders>
            <w:shd w:val="clear" w:color="auto" w:fill="auto"/>
            <w:vAlign w:val="center"/>
          </w:tcPr>
          <w:p w14:paraId="6235A9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完工验收通过率</w:t>
            </w:r>
          </w:p>
        </w:tc>
        <w:tc>
          <w:tcPr>
            <w:tcW w:w="1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D0B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34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1D6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隐蔽工程验收达到100%</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538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4DB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9D5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验收材料</w:t>
            </w:r>
          </w:p>
        </w:tc>
      </w:tr>
      <w:tr w14:paraId="04575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C52A8">
            <w:pPr>
              <w:jc w:val="center"/>
              <w:rPr>
                <w:rFonts w:hint="eastAsia" w:ascii="宋体" w:hAnsi="宋体" w:eastAsia="宋体" w:cs="宋体"/>
                <w:i w:val="0"/>
                <w:iCs w:val="0"/>
                <w:color w:val="000000"/>
                <w:sz w:val="22"/>
                <w:szCs w:val="22"/>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430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时效指标</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276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工程款结算及时性</w:t>
            </w:r>
          </w:p>
        </w:tc>
        <w:tc>
          <w:tcPr>
            <w:tcW w:w="1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1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及时</w:t>
            </w:r>
          </w:p>
        </w:tc>
        <w:tc>
          <w:tcPr>
            <w:tcW w:w="3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83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及时支付每笔工程款、农民民工资</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7D1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203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3C4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支付申请材料</w:t>
            </w:r>
          </w:p>
        </w:tc>
      </w:tr>
      <w:tr w14:paraId="70CA3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09613">
            <w:pPr>
              <w:jc w:val="center"/>
              <w:rPr>
                <w:rFonts w:hint="eastAsia" w:ascii="宋体" w:hAnsi="宋体" w:eastAsia="宋体" w:cs="宋体"/>
                <w:i w:val="0"/>
                <w:iCs w:val="0"/>
                <w:color w:val="000000"/>
                <w:sz w:val="22"/>
                <w:szCs w:val="22"/>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8CE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成本指标</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17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项目总成本</w:t>
            </w:r>
          </w:p>
        </w:tc>
        <w:tc>
          <w:tcPr>
            <w:tcW w:w="1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F1F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≦5.86亿元</w:t>
            </w:r>
          </w:p>
        </w:tc>
        <w:tc>
          <w:tcPr>
            <w:tcW w:w="3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392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项目目前尚未完工，目前项目施工成本在项目总概算控制内，未出现超预算支出</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2C8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A7A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B06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监理材料</w:t>
            </w:r>
          </w:p>
        </w:tc>
      </w:tr>
      <w:tr w14:paraId="509A0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13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C172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效益</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A8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经济效益</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7E2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该专项债利率低于社会融资</w:t>
            </w:r>
          </w:p>
        </w:tc>
        <w:tc>
          <w:tcPr>
            <w:tcW w:w="1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B17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低于</w:t>
            </w:r>
          </w:p>
        </w:tc>
        <w:tc>
          <w:tcPr>
            <w:tcW w:w="34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7CA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低于</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955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A30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6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396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2021年发行专项债年利率为3.18%，2025年发行专项债利率2.5%，低于同期银行借款利率</w:t>
            </w:r>
          </w:p>
        </w:tc>
      </w:tr>
      <w:tr w14:paraId="48A99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0" w:hRule="atLeast"/>
        </w:trPr>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B38D7">
            <w:pPr>
              <w:jc w:val="center"/>
              <w:rPr>
                <w:rFonts w:hint="eastAsia" w:ascii="宋体" w:hAnsi="宋体" w:eastAsia="宋体" w:cs="宋体"/>
                <w:i w:val="0"/>
                <w:iCs w:val="0"/>
                <w:color w:val="000000"/>
                <w:sz w:val="22"/>
                <w:szCs w:val="22"/>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DA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社会效益</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511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改善办学条件、学生住宿条件</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B410">
            <w:pPr>
              <w:keepNext w:val="0"/>
              <w:keepLines w:val="0"/>
              <w:widowControl/>
              <w:suppressLineNumbers w:val="0"/>
              <w:jc w:val="both"/>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学生宿舍楼完工后增加3932个床位，实验实训楼完工后预计增加260余间实验实训室，将有效改善办学条件和学生住宿条件</w:t>
            </w:r>
          </w:p>
        </w:tc>
        <w:tc>
          <w:tcPr>
            <w:tcW w:w="3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EB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生宿舍楼完工后增加3932个床位，极大缓解学生住宿紧张的问题；实验实训楼完工后预计增加约260余间实验实训室，其中包含各类人工智能实训室、网络教学和智慧教室、计算机类实训室、语言类实训室、微格实训室、艺术类实训室、手工和技能类实训室、基础教学类（物理、生物、化学、地理）实训室，将有效改善办学条件。</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576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B4D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864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项目决策依据等</w:t>
            </w:r>
          </w:p>
        </w:tc>
      </w:tr>
      <w:tr w14:paraId="5BE25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0" w:hRule="atLeast"/>
        </w:trPr>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FB9CA">
            <w:pPr>
              <w:jc w:val="center"/>
              <w:rPr>
                <w:rFonts w:hint="eastAsia" w:ascii="宋体" w:hAnsi="宋体" w:eastAsia="宋体" w:cs="宋体"/>
                <w:i w:val="0"/>
                <w:iCs w:val="0"/>
                <w:color w:val="000000"/>
                <w:sz w:val="22"/>
                <w:szCs w:val="22"/>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28C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生态效益</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C89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符合环评审批要求</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588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符合环评要求，并有效处理产生的污水、固体废弃物、噪声污染</w:t>
            </w:r>
          </w:p>
        </w:tc>
        <w:tc>
          <w:tcPr>
            <w:tcW w:w="3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2FA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该项目符合环评要求，生活污水采用雨污分流措施后通过污水管道排放至校内污水官网；固体废弃物通过项目设置的流动垃圾分类垃圾桶和小型垃圾站处理；噪声污染通过建筑物维护结构构件，采取有效的隔声、减噪措施，保证室内噪声级和隔声性能符合《建筑隔声评价标准》的要求。</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88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6AE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EC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生态环保研究论证材料</w:t>
            </w:r>
          </w:p>
        </w:tc>
      </w:tr>
      <w:tr w14:paraId="16D46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0" w:hRule="atLeast"/>
        </w:trPr>
        <w:tc>
          <w:tcPr>
            <w:tcW w:w="13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2074F">
            <w:pPr>
              <w:jc w:val="center"/>
              <w:rPr>
                <w:rFonts w:hint="eastAsia" w:ascii="宋体" w:hAnsi="宋体" w:eastAsia="宋体" w:cs="宋体"/>
                <w:i w:val="0"/>
                <w:iCs w:val="0"/>
                <w:color w:val="000000"/>
                <w:sz w:val="22"/>
                <w:szCs w:val="22"/>
                <w:u w:val="none"/>
              </w:rPr>
            </w:pP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AB8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可持续发展</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FE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提升学校办学层次</w:t>
            </w:r>
          </w:p>
        </w:tc>
        <w:tc>
          <w:tcPr>
            <w:tcW w:w="1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C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通过改善办学条件和学生住宿条件等基础设施条件，为学校申硕、提升办学层次等提供有力保障</w:t>
            </w:r>
          </w:p>
        </w:tc>
        <w:tc>
          <w:tcPr>
            <w:tcW w:w="3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5E0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通过改善办学条件和学生住宿条件等基础设施，为学校申硕、提升办学层次等提供有力保障，国家和省级一流专业达19个及以上，省、市级重点学科达到17个及以上，学校获批硕士学位授予权单位。</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422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D0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E22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项目决策依据等</w:t>
            </w:r>
          </w:p>
        </w:tc>
      </w:tr>
      <w:tr w14:paraId="77F5B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395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满意度</w:t>
            </w:r>
          </w:p>
        </w:tc>
        <w:tc>
          <w:tcPr>
            <w:tcW w:w="11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516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服务对象满意度</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A3D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项目直接服务对象满意度</w:t>
            </w:r>
          </w:p>
        </w:tc>
        <w:tc>
          <w:tcPr>
            <w:tcW w:w="19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64E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34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432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w:t>
            </w: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A60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4C7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443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电话沟通等</w:t>
            </w:r>
          </w:p>
        </w:tc>
      </w:tr>
      <w:tr w14:paraId="156BB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2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F702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  计</w:t>
            </w:r>
          </w:p>
        </w:tc>
        <w:tc>
          <w:tcPr>
            <w:tcW w:w="3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18917">
            <w:pPr>
              <w:rPr>
                <w:rFonts w:hint="eastAsia" w:ascii="宋体" w:hAnsi="宋体" w:eastAsia="宋体" w:cs="宋体"/>
                <w:i w:val="0"/>
                <w:iCs w:val="0"/>
                <w:color w:val="000000"/>
                <w:sz w:val="22"/>
                <w:szCs w:val="22"/>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F88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FF7F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98</w:t>
            </w:r>
          </w:p>
        </w:tc>
        <w:tc>
          <w:tcPr>
            <w:tcW w:w="2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51C61">
            <w:pPr>
              <w:jc w:val="center"/>
              <w:rPr>
                <w:rFonts w:hint="eastAsia" w:ascii="宋体" w:hAnsi="宋体" w:eastAsia="宋体" w:cs="宋体"/>
                <w:i w:val="0"/>
                <w:iCs w:val="0"/>
                <w:color w:val="000000"/>
                <w:sz w:val="22"/>
                <w:szCs w:val="22"/>
                <w:u w:val="none"/>
              </w:rPr>
            </w:pPr>
          </w:p>
        </w:tc>
      </w:tr>
      <w:tr w14:paraId="04D25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2DD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自评偏差原因及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改进措施</w:t>
            </w:r>
          </w:p>
        </w:tc>
        <w:tc>
          <w:tcPr>
            <w:tcW w:w="1262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3B3B5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自评偏差原因：项目目前虽已完工，但因施工方债务纠纷及疫情管控等因素影响，实际完工时间较立项计划有所滞后。</w:t>
            </w:r>
          </w:p>
          <w:p w14:paraId="1957C3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改进措施：加速组织竣工验收，结算中依约核扣逾期违约金，同步推进竣工备案，确保实验实训楼尽早投入使用、尽快释放教学科研效益。</w:t>
            </w:r>
          </w:p>
        </w:tc>
      </w:tr>
      <w:tr w14:paraId="059DC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EF1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项目主管部门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复核意见</w:t>
            </w:r>
          </w:p>
        </w:tc>
        <w:tc>
          <w:tcPr>
            <w:tcW w:w="1262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FB86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部门负责人：         部门：（盖章）             </w:t>
            </w:r>
          </w:p>
        </w:tc>
      </w:tr>
      <w:tr w14:paraId="7B23C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EFC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财政分管处（科）室复核意见</w:t>
            </w:r>
          </w:p>
        </w:tc>
        <w:tc>
          <w:tcPr>
            <w:tcW w:w="1262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0AB2E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处（科）室负责人：       处（科）室：（盖章）</w:t>
            </w:r>
          </w:p>
        </w:tc>
      </w:tr>
      <w:tr w14:paraId="57650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6AC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财政绩效处（科）室复核意见</w:t>
            </w:r>
          </w:p>
        </w:tc>
        <w:tc>
          <w:tcPr>
            <w:tcW w:w="1262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253E5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处（科）室负责人：       处（科）室：（盖章）</w:t>
            </w:r>
          </w:p>
        </w:tc>
      </w:tr>
      <w:tr w14:paraId="47C58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59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财政债务处（科）室重点监控整改情况</w:t>
            </w:r>
          </w:p>
        </w:tc>
        <w:tc>
          <w:tcPr>
            <w:tcW w:w="1262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EA24B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处（科）室负责人：       处（科）室：（盖章）</w:t>
            </w:r>
          </w:p>
        </w:tc>
      </w:tr>
      <w:tr w14:paraId="1B90A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3984" w:type="dxa"/>
            <w:gridSpan w:val="8"/>
            <w:tcBorders>
              <w:top w:val="single" w:color="000000" w:sz="4" w:space="0"/>
              <w:left w:val="nil"/>
              <w:bottom w:val="nil"/>
              <w:right w:val="nil"/>
            </w:tcBorders>
            <w:shd w:val="clear" w:color="auto" w:fill="auto"/>
            <w:vAlign w:val="center"/>
          </w:tcPr>
          <w:p w14:paraId="6937E25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备注：1、项目主管部门、财政部门（分管处室）须对项目单位提供的目标绩效进行严格把关，项目单位要对数据的真实性、准确性负责；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2、对目标完成情况存在偏差的项目，从经费保障、制度保障、人员保障、硬件条件保障、项目实施方式和进程等方面进行研判和分析，查找原因，提出改进的意见建议；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3、对目标完成偏差较大的项目，列入重点监控，并说明整改情况；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4、“评分依据”栏要说明评价规则及评分依据，其中定量指标须增列出评分公式。</w:t>
            </w:r>
          </w:p>
        </w:tc>
      </w:tr>
    </w:tbl>
    <w:p w14:paraId="67E1D349">
      <w:pPr>
        <w:spacing w:line="560" w:lineRule="exact"/>
        <w:rPr>
          <w:rFonts w:ascii="仿宋_GB2312" w:hAnsi="仿宋" w:eastAsia="仿宋_GB2312" w:cs="仿宋"/>
          <w:color w:val="auto"/>
          <w:sz w:val="32"/>
          <w:szCs w:val="32"/>
          <w:highlight w:val="none"/>
          <w:lang w:eastAsia="zh-CN"/>
        </w:rPr>
      </w:pPr>
    </w:p>
    <w:sectPr>
      <w:footerReference r:id="rId4" w:type="default"/>
      <w:pgSz w:w="16840" w:h="11910" w:orient="landscape"/>
      <w:pgMar w:top="1587" w:right="2098" w:bottom="1587" w:left="2098" w:header="720" w:footer="720" w:gutter="0"/>
      <w:pgBorders>
        <w:top w:val="none" w:sz="0" w:space="0"/>
        <w:left w:val="none" w:sz="0" w:space="0"/>
        <w:bottom w:val="none" w:sz="0" w:space="0"/>
        <w:right w:val="none" w:sz="0" w:space="0"/>
      </w:pgBorders>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7C8DB18-0BD5-4910-990A-73DF7D16E42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0000000000000000000"/>
    <w:charset w:val="86"/>
    <w:family w:val="swiss"/>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embedRegular r:id="rId2" w:fontKey="{576FCF45-8BB4-4A1C-A8BE-D88A6CDA0B6F}"/>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3" w:fontKey="{A150A455-2E66-4C99-8337-E223329104B3}"/>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D6FABA82-3C50-4C88-B8E8-F11E87FACFF2}"/>
  </w:font>
  <w:font w:name="仿宋">
    <w:panose1 w:val="02010609060101010101"/>
    <w:charset w:val="86"/>
    <w:family w:val="modern"/>
    <w:pitch w:val="default"/>
    <w:sig w:usb0="800002BF" w:usb1="38CF7CFA" w:usb2="00000016" w:usb3="00000000" w:csb0="00040001" w:csb1="00000000"/>
    <w:embedRegular r:id="rId5" w:fontKey="{FAC03076-950C-470D-B140-8B71A892B25F}"/>
  </w:font>
  <w:font w:name="楷体_GB2312">
    <w:panose1 w:val="02010609030101010101"/>
    <w:charset w:val="86"/>
    <w:family w:val="modern"/>
    <w:pitch w:val="default"/>
    <w:sig w:usb0="00000001" w:usb1="080E0000" w:usb2="00000000" w:usb3="00000000" w:csb0="00040000" w:csb1="00000000"/>
    <w:embedRegular r:id="rId6" w:fontKey="{C1DF0CED-1797-4490-93FD-F438E3F57668}"/>
  </w:font>
  <w:font w:name="方正小标宋_GBK">
    <w:panose1 w:val="03000509000000000000"/>
    <w:charset w:val="86"/>
    <w:family w:val="auto"/>
    <w:pitch w:val="default"/>
    <w:sig w:usb0="00000001" w:usb1="080E0000" w:usb2="00000000" w:usb3="00000000" w:csb0="00040000" w:csb1="00000000"/>
    <w:embedRegular r:id="rId7" w:fontKey="{4F554FC7-71A4-44DD-8E38-31C0A6F721B5}"/>
  </w:font>
  <w:font w:name="WPSEMBED2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9AC42">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66395" cy="246380"/>
              <wp:effectExtent l="0" t="0" r="0" b="0"/>
              <wp:wrapNone/>
              <wp:docPr id="1" name="文本框 1"/>
              <wp:cNvGraphicFramePr/>
              <a:graphic xmlns:a="http://schemas.openxmlformats.org/drawingml/2006/main">
                <a:graphicData uri="http://schemas.microsoft.com/office/word/2010/wordprocessingShape">
                  <wps:wsp>
                    <wps:cNvSpPr txBox="1"/>
                    <wps:spPr>
                      <a:xfrm>
                        <a:off x="0" y="0"/>
                        <a:ext cx="366395" cy="2463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7CD787">
                          <w:pPr>
                            <w:pStyle w:val="7"/>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9.4pt;width:28.85pt;mso-position-horizontal:center;mso-position-horizontal-relative:margin;z-index:251659264;mso-width-relative:page;mso-height-relative:page;" filled="f" stroked="f" coordsize="21600,21600" o:gfxdata="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3IElTUAAAAAwEAAA8AAAAAAAAAAQAgAAAAIgAAAGRycy9kb3ducmV2Lnht&#10;bFBLAQIUABQAAAAIAIdO4kD7S+UuNgIAAGEEAAAOAAAAAAAAAAEAIAAAACMBAABkcnMvZTJvRG9j&#10;LnhtbFBLBQYAAAAABgAGAFkBAADLBQAAAAA=&#10;">
              <v:fill on="f" focussize="0,0"/>
              <v:stroke on="f" weight="0.5pt"/>
              <v:imagedata o:title=""/>
              <o:lock v:ext="edit" aspectratio="f"/>
              <v:textbox inset="0mm,0mm,0mm,0mm">
                <w:txbxContent>
                  <w:p w14:paraId="727CD787">
                    <w:pPr>
                      <w:pStyle w:val="7"/>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6E813">
    <w:pPr>
      <w:pStyle w:val="7"/>
    </w:pPr>
    <w:r>
      <w:rPr>
        <w:sz w:val="18"/>
      </w:rPr>
      <mc:AlternateContent>
        <mc:Choice Requires="wps">
          <w:drawing>
            <wp:anchor distT="0" distB="0" distL="114300" distR="114300" simplePos="0" relativeHeight="251660288" behindDoc="0" locked="0" layoutInCell="1" allowOverlap="1">
              <wp:simplePos x="0" y="0"/>
              <wp:positionH relativeFrom="margin">
                <wp:posOffset>3855720</wp:posOffset>
              </wp:positionH>
              <wp:positionV relativeFrom="paragraph">
                <wp:posOffset>-146050</wp:posOffset>
              </wp:positionV>
              <wp:extent cx="417195" cy="2921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417195" cy="2921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7E30FF">
                          <w:pPr>
                            <w:pStyle w:val="7"/>
                            <w:jc w:val="center"/>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- 7 -</w:t>
                          </w:r>
                          <w:r>
                            <w:rPr>
                              <w:rFonts w:hint="default" w:ascii="Times New Roman" w:hAnsi="Times New Roman" w:cs="Times New Roman"/>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03.6pt;margin-top:-11.5pt;height:23pt;width:32.85pt;mso-position-horizontal-relative:margin;z-index:251660288;mso-width-relative:page;mso-height-relative:page;" filled="f" stroked="f" coordsize="21600,21600" o:gfxdata="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1YVMdgAAAAKAQAADwAAAAAAAAABACAAAAAiAAAAZHJzL2Rvd25y&#10;ZXYueG1sUEsBAhQAFAAAAAgAh07iQK2hiRI3AgAAYQQAAA4AAAAAAAAAAQAgAAAAJwEAAGRycy9l&#10;Mm9Eb2MueG1sUEsFBgAAAAAGAAYAWQEAANAFAAAAAA==&#10;">
              <v:fill on="f" focussize="0,0"/>
              <v:stroke on="f" weight="0.5pt"/>
              <v:imagedata o:title=""/>
              <o:lock v:ext="edit" aspectratio="f"/>
              <v:textbox inset="0mm,0mm,0mm,0mm">
                <w:txbxContent>
                  <w:p w14:paraId="5D7E30FF">
                    <w:pPr>
                      <w:pStyle w:val="7"/>
                      <w:jc w:val="center"/>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- 7 -</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4MzUxZjgyZjBjNjIzMzY2MjgyM2U0MDMxNmIxZTcifQ=="/>
  </w:docVars>
  <w:rsids>
    <w:rsidRoot w:val="006A0286"/>
    <w:rsid w:val="0000186F"/>
    <w:rsid w:val="0000740A"/>
    <w:rsid w:val="00027842"/>
    <w:rsid w:val="00045D4F"/>
    <w:rsid w:val="000D319B"/>
    <w:rsid w:val="000F0010"/>
    <w:rsid w:val="00100EB9"/>
    <w:rsid w:val="001076FD"/>
    <w:rsid w:val="00112A3C"/>
    <w:rsid w:val="0012335B"/>
    <w:rsid w:val="00161D6E"/>
    <w:rsid w:val="001D43CE"/>
    <w:rsid w:val="001E077B"/>
    <w:rsid w:val="001E1F08"/>
    <w:rsid w:val="001F5652"/>
    <w:rsid w:val="001F7403"/>
    <w:rsid w:val="002034C4"/>
    <w:rsid w:val="00223670"/>
    <w:rsid w:val="002E736F"/>
    <w:rsid w:val="002F39B9"/>
    <w:rsid w:val="00317F35"/>
    <w:rsid w:val="003C3B34"/>
    <w:rsid w:val="003D4D43"/>
    <w:rsid w:val="00412A90"/>
    <w:rsid w:val="00427AA3"/>
    <w:rsid w:val="004329B0"/>
    <w:rsid w:val="0044166F"/>
    <w:rsid w:val="00453872"/>
    <w:rsid w:val="00485FCA"/>
    <w:rsid w:val="00496584"/>
    <w:rsid w:val="004B1555"/>
    <w:rsid w:val="004E3E98"/>
    <w:rsid w:val="004F2889"/>
    <w:rsid w:val="004F5F9B"/>
    <w:rsid w:val="00541FD2"/>
    <w:rsid w:val="0055497B"/>
    <w:rsid w:val="005722B2"/>
    <w:rsid w:val="0058181F"/>
    <w:rsid w:val="005C5968"/>
    <w:rsid w:val="005D094F"/>
    <w:rsid w:val="005D61F8"/>
    <w:rsid w:val="006032DC"/>
    <w:rsid w:val="00674ECC"/>
    <w:rsid w:val="006A0286"/>
    <w:rsid w:val="006A3C1E"/>
    <w:rsid w:val="006B1E57"/>
    <w:rsid w:val="006E6FF3"/>
    <w:rsid w:val="006F1257"/>
    <w:rsid w:val="006F2AB8"/>
    <w:rsid w:val="00705B52"/>
    <w:rsid w:val="0072674E"/>
    <w:rsid w:val="007416BA"/>
    <w:rsid w:val="0074337D"/>
    <w:rsid w:val="0075652D"/>
    <w:rsid w:val="00784065"/>
    <w:rsid w:val="00797C52"/>
    <w:rsid w:val="007A754E"/>
    <w:rsid w:val="007A788F"/>
    <w:rsid w:val="007D18A0"/>
    <w:rsid w:val="00830C91"/>
    <w:rsid w:val="008872D5"/>
    <w:rsid w:val="0089680C"/>
    <w:rsid w:val="008A5582"/>
    <w:rsid w:val="008C735A"/>
    <w:rsid w:val="008D7527"/>
    <w:rsid w:val="008F6FC9"/>
    <w:rsid w:val="00926E98"/>
    <w:rsid w:val="00926ED0"/>
    <w:rsid w:val="009329FA"/>
    <w:rsid w:val="0095504B"/>
    <w:rsid w:val="00973D4B"/>
    <w:rsid w:val="0097508D"/>
    <w:rsid w:val="00986091"/>
    <w:rsid w:val="009B2D68"/>
    <w:rsid w:val="009B2FD7"/>
    <w:rsid w:val="00A14DE2"/>
    <w:rsid w:val="00A62B65"/>
    <w:rsid w:val="00A72387"/>
    <w:rsid w:val="00A863A2"/>
    <w:rsid w:val="00A91794"/>
    <w:rsid w:val="00A96CEB"/>
    <w:rsid w:val="00AA24DC"/>
    <w:rsid w:val="00AC69E3"/>
    <w:rsid w:val="00B14C89"/>
    <w:rsid w:val="00B2265F"/>
    <w:rsid w:val="00B33955"/>
    <w:rsid w:val="00BD1F01"/>
    <w:rsid w:val="00C55B87"/>
    <w:rsid w:val="00CB64D3"/>
    <w:rsid w:val="00CF6889"/>
    <w:rsid w:val="00D20830"/>
    <w:rsid w:val="00D663EC"/>
    <w:rsid w:val="00D71C46"/>
    <w:rsid w:val="00D855DD"/>
    <w:rsid w:val="00D85F96"/>
    <w:rsid w:val="00D93C5C"/>
    <w:rsid w:val="00DC07E2"/>
    <w:rsid w:val="00DD7E60"/>
    <w:rsid w:val="00DE067D"/>
    <w:rsid w:val="00DF053C"/>
    <w:rsid w:val="00E1011A"/>
    <w:rsid w:val="00E23A44"/>
    <w:rsid w:val="00E634F0"/>
    <w:rsid w:val="00E70A55"/>
    <w:rsid w:val="00E90762"/>
    <w:rsid w:val="00EB03FD"/>
    <w:rsid w:val="00ED06B2"/>
    <w:rsid w:val="00EF65E3"/>
    <w:rsid w:val="00F161C4"/>
    <w:rsid w:val="00F35A70"/>
    <w:rsid w:val="00F4202D"/>
    <w:rsid w:val="00F43312"/>
    <w:rsid w:val="00FB5E7E"/>
    <w:rsid w:val="00FC405A"/>
    <w:rsid w:val="00FC7877"/>
    <w:rsid w:val="064714C8"/>
    <w:rsid w:val="08B80E1B"/>
    <w:rsid w:val="0AC820DD"/>
    <w:rsid w:val="11C6214D"/>
    <w:rsid w:val="165A472A"/>
    <w:rsid w:val="18553E62"/>
    <w:rsid w:val="18D66708"/>
    <w:rsid w:val="1C383BA3"/>
    <w:rsid w:val="1CA34517"/>
    <w:rsid w:val="1E3F6FD0"/>
    <w:rsid w:val="1E9A57BE"/>
    <w:rsid w:val="1EB42C21"/>
    <w:rsid w:val="24767E98"/>
    <w:rsid w:val="24A86C38"/>
    <w:rsid w:val="261579AF"/>
    <w:rsid w:val="27F117D0"/>
    <w:rsid w:val="281A2C55"/>
    <w:rsid w:val="2A446CD7"/>
    <w:rsid w:val="2D327144"/>
    <w:rsid w:val="2E465493"/>
    <w:rsid w:val="31030D2A"/>
    <w:rsid w:val="32260CFD"/>
    <w:rsid w:val="32A157F9"/>
    <w:rsid w:val="331217FF"/>
    <w:rsid w:val="35A6217D"/>
    <w:rsid w:val="37052E82"/>
    <w:rsid w:val="387663BE"/>
    <w:rsid w:val="3BE746E8"/>
    <w:rsid w:val="3BEC367F"/>
    <w:rsid w:val="3F1820DD"/>
    <w:rsid w:val="3F896B4D"/>
    <w:rsid w:val="3F967005"/>
    <w:rsid w:val="4090489D"/>
    <w:rsid w:val="4298133B"/>
    <w:rsid w:val="438E5CBD"/>
    <w:rsid w:val="45D91459"/>
    <w:rsid w:val="47AB0888"/>
    <w:rsid w:val="48F123DA"/>
    <w:rsid w:val="4F6536CB"/>
    <w:rsid w:val="50854E71"/>
    <w:rsid w:val="52C776A3"/>
    <w:rsid w:val="54F35DD8"/>
    <w:rsid w:val="5C481C97"/>
    <w:rsid w:val="5C4E1BEB"/>
    <w:rsid w:val="5EA03034"/>
    <w:rsid w:val="60F94AF2"/>
    <w:rsid w:val="62CF6C2B"/>
    <w:rsid w:val="63CC1360"/>
    <w:rsid w:val="68E01440"/>
    <w:rsid w:val="6B7C455F"/>
    <w:rsid w:val="6C44476F"/>
    <w:rsid w:val="6E5A4FA1"/>
    <w:rsid w:val="70AA4D99"/>
    <w:rsid w:val="72183AB6"/>
    <w:rsid w:val="75CB3418"/>
    <w:rsid w:val="771427C9"/>
    <w:rsid w:val="77D30B00"/>
    <w:rsid w:val="78150FC9"/>
    <w:rsid w:val="78221D8B"/>
    <w:rsid w:val="79BE7E19"/>
    <w:rsid w:val="7B243B08"/>
    <w:rsid w:val="7B442E3C"/>
    <w:rsid w:val="7D4413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next w:val="1"/>
    <w:autoRedefine/>
    <w:qFormat/>
    <w:uiPriority w:val="1"/>
    <w:pPr>
      <w:ind w:left="100"/>
      <w:outlineLvl w:val="0"/>
    </w:pPr>
    <w:rPr>
      <w:rFonts w:ascii="宋体" w:hAnsi="宋体" w:eastAsia="宋体"/>
      <w:sz w:val="36"/>
      <w:szCs w:val="36"/>
    </w:rPr>
  </w:style>
  <w:style w:type="paragraph" w:styleId="3">
    <w:name w:val="heading 2"/>
    <w:basedOn w:val="1"/>
    <w:next w:val="1"/>
    <w:autoRedefine/>
    <w:qFormat/>
    <w:uiPriority w:val="1"/>
    <w:pPr>
      <w:ind w:left="-21" w:firstLine="2592"/>
      <w:outlineLvl w:val="1"/>
    </w:pPr>
    <w:rPr>
      <w:rFonts w:ascii="宋体" w:hAnsi="宋体" w:eastAsia="宋体"/>
      <w:sz w:val="32"/>
      <w:szCs w:val="32"/>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autoRedefine/>
    <w:qFormat/>
    <w:uiPriority w:val="1"/>
    <w:pPr>
      <w:spacing w:before="207"/>
      <w:ind w:left="120"/>
    </w:pPr>
    <w:rPr>
      <w:rFonts w:ascii="宋体" w:hAnsi="宋体" w:eastAsia="宋体"/>
      <w:sz w:val="30"/>
      <w:szCs w:val="30"/>
    </w:rPr>
  </w:style>
  <w:style w:type="paragraph" w:styleId="5">
    <w:name w:val="Date"/>
    <w:basedOn w:val="1"/>
    <w:next w:val="1"/>
    <w:link w:val="18"/>
    <w:autoRedefine/>
    <w:semiHidden/>
    <w:unhideWhenUsed/>
    <w:qFormat/>
    <w:uiPriority w:val="99"/>
    <w:pPr>
      <w:ind w:left="100" w:leftChars="2500"/>
    </w:pPr>
  </w:style>
  <w:style w:type="paragraph" w:styleId="6">
    <w:name w:val="Balloon Text"/>
    <w:basedOn w:val="1"/>
    <w:link w:val="19"/>
    <w:autoRedefine/>
    <w:semiHidden/>
    <w:unhideWhenUsed/>
    <w:qFormat/>
    <w:uiPriority w:val="99"/>
    <w:rPr>
      <w:sz w:val="18"/>
      <w:szCs w:val="18"/>
    </w:rPr>
  </w:style>
  <w:style w:type="paragraph" w:styleId="7">
    <w:name w:val="footer"/>
    <w:basedOn w:val="1"/>
    <w:link w:val="17"/>
    <w:autoRedefine/>
    <w:unhideWhenUsed/>
    <w:qFormat/>
    <w:uiPriority w:val="99"/>
    <w:pPr>
      <w:tabs>
        <w:tab w:val="center" w:pos="4153"/>
        <w:tab w:val="right" w:pos="8306"/>
      </w:tabs>
      <w:snapToGrid w:val="0"/>
    </w:pPr>
    <w:rPr>
      <w:sz w:val="18"/>
      <w:szCs w:val="18"/>
    </w:rPr>
  </w:style>
  <w:style w:type="paragraph" w:styleId="8">
    <w:name w:val="header"/>
    <w:basedOn w:val="1"/>
    <w:link w:val="16"/>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
    <w:name w:val="Table Normal"/>
    <w:autoRedefine/>
    <w:semiHidden/>
    <w:unhideWhenUsed/>
    <w:qFormat/>
    <w:uiPriority w:val="2"/>
    <w:tblPr>
      <w:tblCellMar>
        <w:top w:w="0" w:type="dxa"/>
        <w:left w:w="0" w:type="dxa"/>
        <w:bottom w:w="0" w:type="dxa"/>
        <w:right w:w="0" w:type="dxa"/>
      </w:tblCellMar>
    </w:tblPr>
  </w:style>
  <w:style w:type="paragraph" w:styleId="13">
    <w:name w:val="List Paragraph"/>
    <w:basedOn w:val="1"/>
    <w:autoRedefine/>
    <w:qFormat/>
    <w:uiPriority w:val="1"/>
  </w:style>
  <w:style w:type="paragraph" w:customStyle="1" w:styleId="14">
    <w:name w:val="Table Paragraph"/>
    <w:basedOn w:val="1"/>
    <w:autoRedefine/>
    <w:qFormat/>
    <w:uiPriority w:val="1"/>
  </w:style>
  <w:style w:type="paragraph" w:customStyle="1" w:styleId="15">
    <w:name w:val="Default"/>
    <w:autoRedefine/>
    <w:qFormat/>
    <w:uiPriority w:val="0"/>
    <w:pPr>
      <w:widowControl w:val="0"/>
      <w:autoSpaceDE w:val="0"/>
      <w:autoSpaceDN w:val="0"/>
      <w:adjustRightInd w:val="0"/>
    </w:pPr>
    <w:rPr>
      <w:rFonts w:ascii="方正黑体_GBK" w:hAnsi="方正黑体_GBK" w:cs="方正黑体_GBK" w:eastAsiaTheme="minorEastAsia"/>
      <w:color w:val="000000"/>
      <w:sz w:val="24"/>
      <w:szCs w:val="24"/>
      <w:lang w:val="en-US" w:eastAsia="en-US" w:bidi="ar-SA"/>
    </w:rPr>
  </w:style>
  <w:style w:type="character" w:customStyle="1" w:styleId="16">
    <w:name w:val="页眉 Char"/>
    <w:basedOn w:val="11"/>
    <w:link w:val="8"/>
    <w:autoRedefine/>
    <w:qFormat/>
    <w:uiPriority w:val="99"/>
    <w:rPr>
      <w:sz w:val="18"/>
      <w:szCs w:val="18"/>
    </w:rPr>
  </w:style>
  <w:style w:type="character" w:customStyle="1" w:styleId="17">
    <w:name w:val="页脚 Char"/>
    <w:basedOn w:val="11"/>
    <w:link w:val="7"/>
    <w:autoRedefine/>
    <w:qFormat/>
    <w:uiPriority w:val="99"/>
    <w:rPr>
      <w:sz w:val="18"/>
      <w:szCs w:val="18"/>
    </w:rPr>
  </w:style>
  <w:style w:type="character" w:customStyle="1" w:styleId="18">
    <w:name w:val="日期 Char"/>
    <w:basedOn w:val="11"/>
    <w:link w:val="5"/>
    <w:autoRedefine/>
    <w:semiHidden/>
    <w:qFormat/>
    <w:uiPriority w:val="99"/>
    <w:rPr>
      <w:sz w:val="22"/>
      <w:szCs w:val="22"/>
      <w:lang w:eastAsia="en-US"/>
    </w:rPr>
  </w:style>
  <w:style w:type="character" w:customStyle="1" w:styleId="19">
    <w:name w:val="批注框文本 Char"/>
    <w:basedOn w:val="11"/>
    <w:link w:val="6"/>
    <w:autoRedefine/>
    <w:semiHidden/>
    <w:qFormat/>
    <w:uiPriority w:val="99"/>
    <w:rPr>
      <w:sz w:val="18"/>
      <w:szCs w:val="18"/>
      <w:lang w:eastAsia="en-US"/>
    </w:rPr>
  </w:style>
  <w:style w:type="character" w:customStyle="1" w:styleId="20">
    <w:name w:val="font71"/>
    <w:basedOn w:val="11"/>
    <w:autoRedefine/>
    <w:qFormat/>
    <w:uiPriority w:val="0"/>
    <w:rPr>
      <w:rFonts w:hint="default" w:ascii="Times New Roman" w:hAnsi="Times New Roman" w:cs="Times New Roman"/>
      <w:color w:val="000000"/>
      <w:sz w:val="20"/>
      <w:szCs w:val="20"/>
      <w:u w:val="none"/>
    </w:rPr>
  </w:style>
  <w:style w:type="character" w:customStyle="1" w:styleId="21">
    <w:name w:val="font61"/>
    <w:basedOn w:val="11"/>
    <w:autoRedefine/>
    <w:qFormat/>
    <w:uiPriority w:val="0"/>
    <w:rPr>
      <w:rFonts w:hint="eastAsia" w:ascii="宋体" w:hAnsi="宋体" w:eastAsia="宋体" w:cs="宋体"/>
      <w:color w:val="000000"/>
      <w:sz w:val="20"/>
      <w:szCs w:val="20"/>
      <w:u w:val="none"/>
    </w:rPr>
  </w:style>
  <w:style w:type="character" w:customStyle="1" w:styleId="22">
    <w:name w:val="font51"/>
    <w:basedOn w:val="11"/>
    <w:autoRedefine/>
    <w:qFormat/>
    <w:uiPriority w:val="0"/>
    <w:rPr>
      <w:rFonts w:hint="eastAsia" w:ascii="宋体" w:hAnsi="宋体" w:eastAsia="宋体" w:cs="宋体"/>
      <w:color w:val="000000"/>
      <w:sz w:val="22"/>
      <w:szCs w:val="22"/>
      <w:u w:val="none"/>
    </w:rPr>
  </w:style>
  <w:style w:type="character" w:customStyle="1" w:styleId="23">
    <w:name w:val="font81"/>
    <w:basedOn w:val="11"/>
    <w:autoRedefine/>
    <w:qFormat/>
    <w:uiPriority w:val="0"/>
    <w:rPr>
      <w:rFonts w:hint="default" w:ascii="Times New Roman" w:hAnsi="Times New Roman" w:cs="Times New Roman"/>
      <w:color w:val="000000"/>
      <w:sz w:val="20"/>
      <w:szCs w:val="20"/>
      <w:u w:val="none"/>
    </w:rPr>
  </w:style>
  <w:style w:type="character" w:customStyle="1" w:styleId="24">
    <w:name w:val="font91"/>
    <w:basedOn w:val="11"/>
    <w:qFormat/>
    <w:uiPriority w:val="0"/>
    <w:rPr>
      <w:rFonts w:hint="default" w:ascii="Times New Roman" w:hAnsi="Times New Roman" w:cs="Times New Roman"/>
      <w:color w:val="000000"/>
      <w:sz w:val="20"/>
      <w:szCs w:val="20"/>
      <w:u w:val="none"/>
    </w:rPr>
  </w:style>
  <w:style w:type="character" w:customStyle="1" w:styleId="25">
    <w:name w:val="font101"/>
    <w:basedOn w:val="11"/>
    <w:qFormat/>
    <w:uiPriority w:val="0"/>
    <w:rPr>
      <w:rFonts w:ascii="微软雅黑" w:hAnsi="微软雅黑" w:eastAsia="微软雅黑" w:cs="微软雅黑"/>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994</Words>
  <Characters>1072</Characters>
  <Lines>25</Lines>
  <Paragraphs>7</Paragraphs>
  <TotalTime>73</TotalTime>
  <ScaleCrop>false</ScaleCrop>
  <LinksUpToDate>false</LinksUpToDate>
  <CharactersWithSpaces>1072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2021-08-19T09:37:00Z</dcterms:created>
  <dc:creator>张肖军(拟稿)</dc:creator>
  <cp:lastModifiedBy>LYX</cp:lastModifiedBy>
  <cp:lastPrinted>2025-04-27T01:44:00Z</cp:lastPrinted>
  <dcterms:modified xsi:type="dcterms:W3CDTF">2026-06-25T01:31:48Z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2020-09-01T00:00:00Z</vt:filetime>
  </property>
  <property fmtid="{D5CDD505-2E9C-101B-9397-08002B2CF9AE}" pid="3" name="Creator">
    <vt:lpwstr>Adobe Acrobat Pro 11.0.7</vt:lpwstr>
  </property>
  <property fmtid="{D5CDD505-2E9C-101B-9397-08002B2CF9AE}" pid="4" name="LastSaved">
    <vt:filetime>2021-08-19T00:00:00Z</vt:filetime>
  </property>
  <property fmtid="{D5CDD505-2E9C-101B-9397-08002B2CF9AE}" pid="5" name="KSOProductBuildVer">
    <vt:lpwstr>2052-12.1.0.26895</vt:lpwstr>
  </property>
  <property fmtid="{D5CDD505-2E9C-101B-9397-08002B2CF9AE}" pid="6" name="ICV">
    <vt:lpwstr>332897C7EF0E4418833D14259174D0BF_13</vt:lpwstr>
  </property>
  <property fmtid="{D5CDD505-2E9C-101B-9397-08002B2CF9AE}" pid="7" name="KSOTemplateDocerSaveRecord">
    <vt:lpwstr>eyJoZGlkIjoiZjQ1OWUyNTE2NzIwZmRiZDk0NWNjMGMzYTI5MWU1ODMiLCJ1c2VySWQiOiI0MzMwMDA4MDQifQ==</vt:lpwstr>
  </property>
</Properties>
</file>