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34E56">
      <w:pPr>
        <w:spacing w:line="700" w:lineRule="exact"/>
        <w:jc w:val="center"/>
        <w:rPr>
          <w:rFonts w:eastAsia="方正小标宋简体" w:cs="方正小标宋简体"/>
          <w:bCs/>
          <w:sz w:val="44"/>
          <w:szCs w:val="44"/>
        </w:rPr>
      </w:pPr>
      <w:r>
        <w:rPr>
          <w:rFonts w:hint="eastAsia" w:eastAsia="方正小标宋简体" w:cs="方正小标宋简体"/>
          <w:bCs/>
          <w:sz w:val="44"/>
          <w:szCs w:val="44"/>
        </w:rPr>
        <w:t>2025年度南京晓庄学院单位整体</w:t>
      </w:r>
    </w:p>
    <w:p w14:paraId="1660F94F">
      <w:pPr>
        <w:spacing w:line="700" w:lineRule="exact"/>
        <w:jc w:val="center"/>
        <w:rPr>
          <w:rFonts w:eastAsia="黑体"/>
          <w:sz w:val="32"/>
          <w:szCs w:val="32"/>
        </w:rPr>
      </w:pPr>
      <w:r>
        <w:rPr>
          <w:rFonts w:hint="eastAsia" w:eastAsia="方正小标宋简体" w:cs="方正小标宋简体"/>
          <w:bCs/>
          <w:sz w:val="44"/>
          <w:szCs w:val="44"/>
        </w:rPr>
        <w:t>绩效评价报告</w:t>
      </w:r>
    </w:p>
    <w:p w14:paraId="21490ACB">
      <w:pPr>
        <w:spacing w:line="560" w:lineRule="exact"/>
        <w:ind w:firstLine="640" w:firstLineChars="200"/>
        <w:rPr>
          <w:rFonts w:eastAsia="黑体"/>
          <w:sz w:val="32"/>
          <w:szCs w:val="32"/>
        </w:rPr>
      </w:pPr>
    </w:p>
    <w:p w14:paraId="0A2FBEFA">
      <w:pPr>
        <w:spacing w:line="560" w:lineRule="exact"/>
        <w:ind w:firstLine="640" w:firstLineChars="200"/>
        <w:rPr>
          <w:rFonts w:eastAsia="黑体"/>
          <w:sz w:val="32"/>
          <w:szCs w:val="32"/>
        </w:rPr>
      </w:pPr>
      <w:r>
        <w:rPr>
          <w:rFonts w:hint="eastAsia" w:eastAsia="黑体"/>
          <w:sz w:val="32"/>
          <w:szCs w:val="32"/>
        </w:rPr>
        <w:t>一、南京晓庄学院概况</w:t>
      </w:r>
    </w:p>
    <w:p w14:paraId="64BE3D42">
      <w:pPr>
        <w:spacing w:line="560" w:lineRule="exact"/>
        <w:ind w:firstLine="640" w:firstLineChars="200"/>
        <w:rPr>
          <w:rFonts w:eastAsia="楷体_GB2312"/>
          <w:bCs/>
          <w:sz w:val="32"/>
          <w:szCs w:val="32"/>
        </w:rPr>
      </w:pPr>
      <w:r>
        <w:rPr>
          <w:rFonts w:hint="eastAsia" w:eastAsia="楷体_GB2312"/>
          <w:bCs/>
          <w:sz w:val="32"/>
          <w:szCs w:val="32"/>
        </w:rPr>
        <w:t>（一）单位基本情况</w:t>
      </w:r>
    </w:p>
    <w:p w14:paraId="7140EEE8">
      <w:pPr>
        <w:spacing w:line="560" w:lineRule="exact"/>
        <w:ind w:firstLine="643" w:firstLineChars="200"/>
        <w:rPr>
          <w:rFonts w:eastAsia="仿宋_GB2312" w:cs="仿宋_GB2312"/>
          <w:b/>
          <w:sz w:val="32"/>
          <w:szCs w:val="32"/>
        </w:rPr>
      </w:pPr>
      <w:r>
        <w:rPr>
          <w:rFonts w:hint="eastAsia" w:eastAsia="仿宋_GB2312" w:cs="仿宋_GB2312"/>
          <w:b/>
          <w:sz w:val="32"/>
          <w:szCs w:val="32"/>
        </w:rPr>
        <w:t>1.单位职能</w:t>
      </w:r>
    </w:p>
    <w:p w14:paraId="631A23A1">
      <w:pPr>
        <w:spacing w:line="560" w:lineRule="exact"/>
        <w:ind w:firstLine="640" w:firstLineChars="200"/>
        <w:rPr>
          <w:rFonts w:eastAsia="仿宋_GB2312" w:cs="仿宋_GB2312"/>
          <w:sz w:val="32"/>
          <w:szCs w:val="32"/>
        </w:rPr>
      </w:pPr>
      <w:r>
        <w:rPr>
          <w:rFonts w:hint="eastAsia" w:eastAsia="仿宋_GB2312" w:cs="仿宋_GB2312"/>
          <w:sz w:val="32"/>
          <w:szCs w:val="32"/>
        </w:rPr>
        <w:t>南京晓庄学院是由江苏省和南京市共建、南京市属全日制公办普通本科院校。</w:t>
      </w:r>
    </w:p>
    <w:p w14:paraId="7CD5C04F">
      <w:pPr>
        <w:spacing w:line="560" w:lineRule="exact"/>
        <w:ind w:firstLine="640" w:firstLineChars="200"/>
        <w:rPr>
          <w:rFonts w:eastAsia="仿宋_GB2312" w:cs="仿宋_GB2312"/>
          <w:sz w:val="32"/>
          <w:szCs w:val="32"/>
        </w:rPr>
      </w:pPr>
      <w:r>
        <w:rPr>
          <w:rFonts w:hint="eastAsia" w:eastAsia="仿宋_GB2312" w:cs="仿宋_GB2312"/>
          <w:sz w:val="32"/>
          <w:szCs w:val="32"/>
        </w:rPr>
        <w:t>学校始终秉承陶行知教育思想精髓，形成了“教学做合一”的校训、“教人求真，学做真人”的校风和“捧着一颗心来，不带半根草去”的奉献精神。建校以来，为社会培养输送了20余万名基础教育师资和各类专门人才，涌现出数万名中小学幼儿园特级教师、教学名师和教育管理者。</w:t>
      </w:r>
    </w:p>
    <w:p w14:paraId="2F3F9B53">
      <w:pPr>
        <w:spacing w:line="560" w:lineRule="exact"/>
        <w:ind w:firstLine="640" w:firstLineChars="200"/>
        <w:rPr>
          <w:rFonts w:eastAsia="仿宋_GB2312" w:cs="仿宋_GB2312"/>
          <w:sz w:val="32"/>
          <w:szCs w:val="32"/>
        </w:rPr>
      </w:pPr>
      <w:r>
        <w:rPr>
          <w:rFonts w:hint="eastAsia" w:eastAsia="仿宋_GB2312" w:cs="仿宋_GB2312"/>
          <w:sz w:val="32"/>
          <w:szCs w:val="32"/>
        </w:rPr>
        <w:t>学校打造“大爱学工”品牌，不断创新育人形式。坚持“以学生发展为中心”的育人理念，深入推进“时代新人铸魂工程”，积极推进“一站式”学生社区建设提质增效。</w:t>
      </w:r>
    </w:p>
    <w:p w14:paraId="3636861C">
      <w:pPr>
        <w:spacing w:line="560" w:lineRule="exact"/>
        <w:ind w:firstLine="640" w:firstLineChars="200"/>
        <w:rPr>
          <w:rFonts w:eastAsia="仿宋_GB2312" w:cs="仿宋_GB2312"/>
          <w:sz w:val="32"/>
          <w:szCs w:val="32"/>
        </w:rPr>
      </w:pPr>
      <w:r>
        <w:rPr>
          <w:rFonts w:hint="eastAsia" w:eastAsia="仿宋_GB2312" w:cs="仿宋_GB2312"/>
          <w:sz w:val="32"/>
          <w:szCs w:val="32"/>
        </w:rPr>
        <w:t>学校致力“学术晓庄”建设，发挥学科科研引领作用，确立以“新师范为主体，新工科、新文科为两翼，音体美相协同”的学科专业体系。</w:t>
      </w:r>
    </w:p>
    <w:p w14:paraId="64C3BA89">
      <w:pPr>
        <w:spacing w:line="560" w:lineRule="exact"/>
        <w:ind w:firstLine="640" w:firstLineChars="200"/>
        <w:rPr>
          <w:rFonts w:eastAsia="仿宋_GB2312" w:cs="仿宋_GB2312"/>
          <w:sz w:val="32"/>
          <w:szCs w:val="32"/>
        </w:rPr>
      </w:pPr>
      <w:r>
        <w:rPr>
          <w:rFonts w:hint="eastAsia" w:eastAsia="仿宋_GB2312" w:cs="仿宋_GB2312"/>
          <w:sz w:val="32"/>
          <w:szCs w:val="32"/>
        </w:rPr>
        <w:t>学校注重行知精神传承，形成以“行知、师范、红色”为特色的校园文化新格局。加强师德教育馆建设，开设陶行知相关校本课程，编创陶行知研究系列著作，形成学陶师陶践陶研陶的良好氛围。</w:t>
      </w:r>
    </w:p>
    <w:p w14:paraId="43D7F5DB">
      <w:pPr>
        <w:spacing w:line="560" w:lineRule="exact"/>
        <w:ind w:firstLine="640" w:firstLineChars="200"/>
        <w:rPr>
          <w:rFonts w:eastAsia="仿宋_GB2312" w:cs="仿宋_GB2312"/>
          <w:sz w:val="32"/>
          <w:szCs w:val="32"/>
        </w:rPr>
      </w:pPr>
      <w:r>
        <w:rPr>
          <w:rFonts w:hint="eastAsia" w:eastAsia="仿宋_GB2312" w:cs="仿宋_GB2312"/>
          <w:sz w:val="32"/>
          <w:szCs w:val="32"/>
        </w:rPr>
        <w:t>学校始终坚持开放办学，与美国、英国、意大利、澳大利亚、日本、韩国、印度尼西亚等国家和地区的60多所高等院校开展多项对外交流与国际教育合作项目，来自全球80多个国家和地区留学生到校学习交流。</w:t>
      </w:r>
    </w:p>
    <w:p w14:paraId="4EFFB577">
      <w:pPr>
        <w:spacing w:line="560" w:lineRule="exact"/>
        <w:ind w:firstLine="640" w:firstLineChars="200"/>
        <w:rPr>
          <w:rFonts w:eastAsia="仿宋_GB2312" w:cs="仿宋_GB2312"/>
          <w:sz w:val="32"/>
          <w:szCs w:val="32"/>
        </w:rPr>
      </w:pPr>
      <w:r>
        <w:rPr>
          <w:rFonts w:hint="eastAsia" w:eastAsia="仿宋_GB2312" w:cs="仿宋_GB2312"/>
          <w:sz w:val="32"/>
          <w:szCs w:val="32"/>
        </w:rPr>
        <w:t>学校秉承“大爱、奉献、担当”的行知精神，主动服务国家战略和区域经济社会发展。</w:t>
      </w:r>
    </w:p>
    <w:p w14:paraId="42E16714">
      <w:pPr>
        <w:spacing w:line="560" w:lineRule="exact"/>
        <w:ind w:firstLine="643" w:firstLineChars="200"/>
        <w:rPr>
          <w:rFonts w:eastAsia="仿宋_GB2312" w:cs="仿宋_GB2312"/>
          <w:b/>
          <w:sz w:val="32"/>
          <w:szCs w:val="32"/>
        </w:rPr>
      </w:pPr>
      <w:r>
        <w:rPr>
          <w:rFonts w:hint="eastAsia" w:eastAsia="仿宋_GB2312" w:cs="仿宋_GB2312"/>
          <w:b/>
          <w:sz w:val="32"/>
          <w:szCs w:val="32"/>
        </w:rPr>
        <w:t>2.机构设置</w:t>
      </w:r>
    </w:p>
    <w:p w14:paraId="5C3C43BB">
      <w:pPr>
        <w:spacing w:line="560" w:lineRule="exact"/>
        <w:ind w:firstLine="640" w:firstLineChars="200"/>
        <w:rPr>
          <w:rFonts w:eastAsia="仿宋_GB2312" w:cs="仿宋_GB2312"/>
          <w:sz w:val="32"/>
          <w:szCs w:val="32"/>
        </w:rPr>
      </w:pPr>
      <w:r>
        <w:rPr>
          <w:rFonts w:hint="eastAsia" w:eastAsia="仿宋_GB2312" w:cs="仿宋_GB2312"/>
          <w:sz w:val="32"/>
          <w:szCs w:val="32"/>
        </w:rPr>
        <w:t>根据单位职责分工，本单位内设综合管理机构包括：党委办公室、院长办公室，党委组织部，党委宣传部，发展规划处，人力资源处，教务处，科研处，研究生处，学生工作处，国际合作与交流处，财务处，审计处，国有资产管理处，实验室建设与管理处，后勤管理处，信息化建设与管理办公室，保卫处，教育质量评估处；教辅机构包括：教师发展学院，心理健康研究院，陶行知研究院，图书馆；群团组织、离退休管理机构包括：工会，团委，离退休工作处；另设有纪检监察机构和机关党委。本单位二级学院设置包括：教师教育学院，幼儿师范学院，文学院，外国语学院，新闻传播学院，商学院，旅游与社会管理学院，马克思主义学院，信息工程学院（人工智能学院），电子工程学院，食品科学学院，环境科学学院，音乐学院，美术学院，体育学院。本单位无下属单位。</w:t>
      </w:r>
    </w:p>
    <w:p w14:paraId="0EFF3221">
      <w:pPr>
        <w:spacing w:line="560" w:lineRule="exact"/>
        <w:ind w:firstLine="643" w:firstLineChars="200"/>
        <w:rPr>
          <w:rFonts w:eastAsia="仿宋_GB2312" w:cs="仿宋_GB2312"/>
          <w:b/>
          <w:sz w:val="32"/>
          <w:szCs w:val="32"/>
        </w:rPr>
      </w:pPr>
      <w:r>
        <w:rPr>
          <w:rFonts w:hint="eastAsia" w:eastAsia="仿宋_GB2312" w:cs="仿宋_GB2312"/>
          <w:b/>
          <w:sz w:val="32"/>
          <w:szCs w:val="32"/>
        </w:rPr>
        <w:t>3.人员配置</w:t>
      </w:r>
    </w:p>
    <w:p w14:paraId="6F32E39E">
      <w:pPr>
        <w:spacing w:line="560" w:lineRule="exact"/>
        <w:ind w:firstLine="640" w:firstLineChars="200"/>
        <w:rPr>
          <w:rFonts w:eastAsia="仿宋_GB2312" w:cs="仿宋_GB2312"/>
          <w:sz w:val="32"/>
          <w:szCs w:val="32"/>
        </w:rPr>
      </w:pPr>
      <w:r>
        <w:rPr>
          <w:rFonts w:hint="eastAsia" w:eastAsia="仿宋_GB2312" w:cs="仿宋_GB2312"/>
          <w:sz w:val="32"/>
          <w:szCs w:val="32"/>
          <w:lang w:eastAsia="zh-CN"/>
        </w:rPr>
        <w:t>截至</w:t>
      </w:r>
      <w:r>
        <w:rPr>
          <w:rFonts w:hint="eastAsia" w:eastAsia="仿宋_GB2312" w:cs="仿宋_GB2312"/>
          <w:sz w:val="32"/>
          <w:szCs w:val="32"/>
        </w:rPr>
        <w:t>2025年12月，学校教职工人数2039人，其中在职在岗人员1456人，离退休人员583人。</w:t>
      </w:r>
    </w:p>
    <w:p w14:paraId="0E53171E">
      <w:pPr>
        <w:spacing w:line="560" w:lineRule="exact"/>
        <w:ind w:firstLine="643" w:firstLineChars="200"/>
        <w:rPr>
          <w:rFonts w:eastAsia="仿宋_GB2312" w:cs="仿宋_GB2312"/>
          <w:b/>
          <w:sz w:val="32"/>
          <w:szCs w:val="32"/>
        </w:rPr>
      </w:pPr>
      <w:r>
        <w:rPr>
          <w:rFonts w:hint="eastAsia" w:eastAsia="仿宋_GB2312" w:cs="仿宋_GB2312"/>
          <w:b/>
          <w:sz w:val="32"/>
          <w:szCs w:val="32"/>
        </w:rPr>
        <w:t>4.单位资产</w:t>
      </w:r>
    </w:p>
    <w:p w14:paraId="24AA90F9">
      <w:pPr>
        <w:spacing w:line="560" w:lineRule="exact"/>
        <w:ind w:firstLine="640" w:firstLineChars="200"/>
        <w:rPr>
          <w:rFonts w:eastAsia="仿宋_GB2312" w:cs="仿宋_GB2312"/>
          <w:sz w:val="32"/>
          <w:szCs w:val="32"/>
        </w:rPr>
      </w:pPr>
      <w:r>
        <w:rPr>
          <w:rFonts w:hint="eastAsia" w:eastAsia="仿宋_GB2312" w:cs="仿宋_GB2312"/>
          <w:sz w:val="32"/>
          <w:szCs w:val="32"/>
        </w:rPr>
        <w:t>截至2025年12月31日，学校资产总额为219,311.35万元，负债总额为23,623.2万元。房屋及构筑物账面原值185,966.01万元；车辆21辆，账面原值839.70万元，单价50万元（含）以上的通用设备68台（套），单价100万元（含）以上的设备17台（套）。</w:t>
      </w:r>
    </w:p>
    <w:p w14:paraId="3E886757">
      <w:pPr>
        <w:spacing w:line="560" w:lineRule="exact"/>
        <w:ind w:firstLine="640" w:firstLineChars="200"/>
        <w:rPr>
          <w:rFonts w:eastAsia="楷体_GB2312"/>
          <w:bCs/>
          <w:sz w:val="32"/>
          <w:szCs w:val="32"/>
        </w:rPr>
      </w:pPr>
      <w:r>
        <w:rPr>
          <w:rFonts w:hint="eastAsia" w:eastAsia="楷体_GB2312"/>
          <w:bCs/>
          <w:sz w:val="32"/>
          <w:szCs w:val="32"/>
        </w:rPr>
        <w:t>（二）单位资金情况</w:t>
      </w:r>
    </w:p>
    <w:p w14:paraId="11F14801">
      <w:pPr>
        <w:spacing w:line="560" w:lineRule="exact"/>
        <w:ind w:firstLine="643" w:firstLineChars="200"/>
        <w:rPr>
          <w:rFonts w:eastAsia="仿宋_GB2312" w:cs="仿宋_GB2312"/>
          <w:b/>
          <w:sz w:val="32"/>
          <w:szCs w:val="32"/>
        </w:rPr>
      </w:pPr>
      <w:r>
        <w:rPr>
          <w:rFonts w:hint="eastAsia" w:eastAsia="仿宋_GB2312" w:cs="仿宋_GB2312"/>
          <w:b/>
          <w:sz w:val="32"/>
          <w:szCs w:val="32"/>
        </w:rPr>
        <w:t>1.单位收支情况</w:t>
      </w:r>
    </w:p>
    <w:p w14:paraId="70640835">
      <w:pPr>
        <w:spacing w:line="560" w:lineRule="exact"/>
        <w:ind w:firstLine="640" w:firstLineChars="200"/>
        <w:rPr>
          <w:rFonts w:eastAsia="仿宋_GB2312" w:cs="仿宋_GB2312"/>
          <w:sz w:val="32"/>
          <w:szCs w:val="32"/>
        </w:rPr>
      </w:pPr>
      <w:r>
        <w:rPr>
          <w:rFonts w:hint="eastAsia" w:eastAsia="仿宋_GB2312" w:cs="仿宋_GB2312"/>
          <w:sz w:val="32"/>
          <w:szCs w:val="32"/>
        </w:rPr>
        <w:t>南京晓庄学院2025年预算安排63,903.00万元，其中：基本支出57,988.8万元，项目支出5,914.2万元。调整后预算94,760.63万元，其中：基本支出70,172.81万元，调增12,184.01万元，主要原因为预算执行年度追加增人增资等基本支出经费；项目支出24,587.82万元，调整18,673.62万元，主要原因为预算执行年度追加地方政府债券资金、省下补助资金以及市级资金等项目支出经费。</w:t>
      </w:r>
    </w:p>
    <w:p w14:paraId="489BBBC9">
      <w:pPr>
        <w:spacing w:line="560" w:lineRule="exact"/>
        <w:ind w:firstLine="640" w:firstLineChars="200"/>
        <w:rPr>
          <w:rFonts w:eastAsia="仿宋_GB2312" w:cs="仿宋_GB2312"/>
          <w:sz w:val="32"/>
          <w:szCs w:val="32"/>
        </w:rPr>
      </w:pPr>
      <w:r>
        <w:rPr>
          <w:rFonts w:hint="eastAsia" w:eastAsia="仿宋_GB2312" w:cs="仿宋_GB2312"/>
          <w:sz w:val="32"/>
          <w:szCs w:val="32"/>
        </w:rPr>
        <w:t>2025年南京晓庄学院实际支出92,666.66万元，预算执行率97.79%。其中：基本支出68,824.01万元，预算执行率98.08%；项目支出23,842.65万元，预算执行率96.97%。详情见表1。</w:t>
      </w:r>
    </w:p>
    <w:p w14:paraId="197FE277">
      <w:pPr>
        <w:spacing w:line="560" w:lineRule="exact"/>
        <w:ind w:firstLine="643" w:firstLineChars="200"/>
        <w:jc w:val="center"/>
        <w:rPr>
          <w:rFonts w:eastAsia="仿宋_GB2312" w:cs="仿宋_GB2312"/>
          <w:b/>
          <w:bCs/>
          <w:sz w:val="32"/>
          <w:szCs w:val="32"/>
        </w:rPr>
      </w:pPr>
      <w:r>
        <w:rPr>
          <w:rFonts w:hint="eastAsia" w:eastAsia="仿宋_GB2312" w:cs="仿宋_GB2312"/>
          <w:b/>
          <w:bCs/>
          <w:sz w:val="32"/>
          <w:szCs w:val="32"/>
        </w:rPr>
        <w:t>表1  2025年南京晓庄学院预算安排与支出情况</w:t>
      </w:r>
    </w:p>
    <w:p w14:paraId="5A1FBDE7">
      <w:pPr>
        <w:wordWrap w:val="0"/>
        <w:spacing w:line="560" w:lineRule="exact"/>
        <w:ind w:firstLine="643" w:firstLineChars="200"/>
        <w:jc w:val="right"/>
        <w:rPr>
          <w:rFonts w:eastAsia="仿宋_GB2312" w:cs="仿宋_GB2312"/>
          <w:b/>
          <w:bCs/>
          <w:sz w:val="32"/>
          <w:szCs w:val="32"/>
        </w:rPr>
      </w:pPr>
      <w:r>
        <w:rPr>
          <w:rFonts w:hint="eastAsia" w:eastAsia="仿宋_GB2312" w:cs="仿宋_GB2312"/>
          <w:b/>
          <w:bCs/>
          <w:sz w:val="32"/>
          <w:szCs w:val="32"/>
        </w:rPr>
        <w:t>单位：万元</w:t>
      </w:r>
    </w:p>
    <w:tbl>
      <w:tblPr>
        <w:tblStyle w:val="7"/>
        <w:tblW w:w="970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1844"/>
        <w:gridCol w:w="2356"/>
        <w:gridCol w:w="2013"/>
        <w:gridCol w:w="1961"/>
      </w:tblGrid>
      <w:tr w14:paraId="7792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1" w:type="dxa"/>
          </w:tcPr>
          <w:p w14:paraId="0EC53C7C">
            <w:pPr>
              <w:spacing w:line="560" w:lineRule="exact"/>
              <w:jc w:val="center"/>
              <w:rPr>
                <w:rFonts w:eastAsia="仿宋_GB2312" w:cs="仿宋_GB2312"/>
                <w:b/>
                <w:bCs/>
                <w:sz w:val="28"/>
                <w:szCs w:val="28"/>
              </w:rPr>
            </w:pPr>
            <w:r>
              <w:rPr>
                <w:rFonts w:hint="eastAsia" w:eastAsia="仿宋_GB2312" w:cs="仿宋_GB2312"/>
                <w:b/>
                <w:bCs/>
                <w:sz w:val="28"/>
                <w:szCs w:val="28"/>
              </w:rPr>
              <w:t>支出类别</w:t>
            </w:r>
          </w:p>
        </w:tc>
        <w:tc>
          <w:tcPr>
            <w:tcW w:w="1844" w:type="dxa"/>
          </w:tcPr>
          <w:p w14:paraId="3FAE144C">
            <w:pPr>
              <w:spacing w:line="560" w:lineRule="exact"/>
              <w:jc w:val="center"/>
              <w:rPr>
                <w:rFonts w:eastAsia="仿宋_GB2312" w:cs="仿宋_GB2312"/>
                <w:b/>
                <w:bCs/>
                <w:sz w:val="28"/>
                <w:szCs w:val="28"/>
              </w:rPr>
            </w:pPr>
            <w:r>
              <w:rPr>
                <w:rFonts w:hint="eastAsia" w:eastAsia="仿宋_GB2312" w:cs="仿宋_GB2312"/>
                <w:b/>
                <w:bCs/>
                <w:sz w:val="28"/>
                <w:szCs w:val="28"/>
              </w:rPr>
              <w:t>年初预算数</w:t>
            </w:r>
          </w:p>
        </w:tc>
        <w:tc>
          <w:tcPr>
            <w:tcW w:w="2356" w:type="dxa"/>
          </w:tcPr>
          <w:p w14:paraId="144D8ABE">
            <w:pPr>
              <w:spacing w:line="560" w:lineRule="exact"/>
              <w:jc w:val="center"/>
              <w:rPr>
                <w:rFonts w:eastAsia="仿宋_GB2312" w:cs="仿宋_GB2312"/>
                <w:b/>
                <w:bCs/>
                <w:sz w:val="28"/>
                <w:szCs w:val="28"/>
              </w:rPr>
            </w:pPr>
            <w:r>
              <w:rPr>
                <w:rFonts w:hint="eastAsia" w:eastAsia="仿宋_GB2312" w:cs="仿宋_GB2312"/>
                <w:b/>
                <w:bCs/>
                <w:sz w:val="28"/>
                <w:szCs w:val="28"/>
              </w:rPr>
              <w:t>调整后预算数</w:t>
            </w:r>
          </w:p>
        </w:tc>
        <w:tc>
          <w:tcPr>
            <w:tcW w:w="2013" w:type="dxa"/>
          </w:tcPr>
          <w:p w14:paraId="7DD05A69">
            <w:pPr>
              <w:spacing w:line="560" w:lineRule="exact"/>
              <w:jc w:val="center"/>
              <w:rPr>
                <w:rFonts w:eastAsia="仿宋_GB2312" w:cs="仿宋_GB2312"/>
                <w:b/>
                <w:bCs/>
                <w:sz w:val="28"/>
                <w:szCs w:val="28"/>
              </w:rPr>
            </w:pPr>
            <w:r>
              <w:rPr>
                <w:rFonts w:hint="eastAsia" w:eastAsia="仿宋_GB2312" w:cs="仿宋_GB2312"/>
                <w:b/>
                <w:bCs/>
                <w:sz w:val="28"/>
                <w:szCs w:val="28"/>
              </w:rPr>
              <w:t>实际支出数</w:t>
            </w:r>
          </w:p>
        </w:tc>
        <w:tc>
          <w:tcPr>
            <w:tcW w:w="1961" w:type="dxa"/>
          </w:tcPr>
          <w:p w14:paraId="3D29619C">
            <w:pPr>
              <w:spacing w:line="560" w:lineRule="exact"/>
              <w:jc w:val="center"/>
              <w:rPr>
                <w:rFonts w:eastAsia="仿宋_GB2312" w:cs="仿宋_GB2312"/>
                <w:b/>
                <w:bCs/>
                <w:sz w:val="28"/>
                <w:szCs w:val="28"/>
              </w:rPr>
            </w:pPr>
            <w:r>
              <w:rPr>
                <w:rFonts w:hint="eastAsia" w:eastAsia="仿宋_GB2312" w:cs="仿宋_GB2312"/>
                <w:b/>
                <w:bCs/>
                <w:sz w:val="28"/>
                <w:szCs w:val="28"/>
              </w:rPr>
              <w:t>预算执行率</w:t>
            </w:r>
          </w:p>
        </w:tc>
      </w:tr>
      <w:tr w14:paraId="378F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1" w:type="dxa"/>
          </w:tcPr>
          <w:p w14:paraId="487B7436">
            <w:pPr>
              <w:spacing w:line="560" w:lineRule="exact"/>
              <w:jc w:val="center"/>
              <w:rPr>
                <w:rFonts w:eastAsia="仿宋_GB2312" w:cs="仿宋_GB2312"/>
                <w:sz w:val="28"/>
                <w:szCs w:val="28"/>
              </w:rPr>
            </w:pPr>
            <w:r>
              <w:rPr>
                <w:rFonts w:hint="eastAsia" w:eastAsia="仿宋_GB2312" w:cs="仿宋_GB2312"/>
                <w:sz w:val="28"/>
                <w:szCs w:val="28"/>
              </w:rPr>
              <w:t>基本支出</w:t>
            </w:r>
          </w:p>
        </w:tc>
        <w:tc>
          <w:tcPr>
            <w:tcW w:w="1844" w:type="dxa"/>
          </w:tcPr>
          <w:p w14:paraId="432612C2">
            <w:pPr>
              <w:spacing w:line="560" w:lineRule="exact"/>
              <w:jc w:val="center"/>
              <w:rPr>
                <w:rFonts w:eastAsia="仿宋_GB2312" w:cs="仿宋_GB2312"/>
                <w:sz w:val="28"/>
                <w:szCs w:val="28"/>
              </w:rPr>
            </w:pPr>
            <w:r>
              <w:rPr>
                <w:rFonts w:hint="eastAsia" w:eastAsia="仿宋_GB2312" w:cs="仿宋_GB2312"/>
                <w:sz w:val="28"/>
                <w:szCs w:val="28"/>
              </w:rPr>
              <w:t>57,988.8</w:t>
            </w:r>
          </w:p>
        </w:tc>
        <w:tc>
          <w:tcPr>
            <w:tcW w:w="2356" w:type="dxa"/>
          </w:tcPr>
          <w:p w14:paraId="26AA7FD5">
            <w:pPr>
              <w:spacing w:line="560" w:lineRule="exact"/>
              <w:jc w:val="center"/>
              <w:rPr>
                <w:rFonts w:eastAsia="仿宋_GB2312" w:cs="仿宋_GB2312"/>
                <w:sz w:val="28"/>
                <w:szCs w:val="28"/>
              </w:rPr>
            </w:pPr>
            <w:r>
              <w:rPr>
                <w:rFonts w:hint="eastAsia" w:eastAsia="仿宋_GB2312" w:cs="仿宋_GB2312"/>
                <w:sz w:val="28"/>
                <w:szCs w:val="28"/>
              </w:rPr>
              <w:t>70,172.81</w:t>
            </w:r>
          </w:p>
        </w:tc>
        <w:tc>
          <w:tcPr>
            <w:tcW w:w="2013" w:type="dxa"/>
          </w:tcPr>
          <w:p w14:paraId="75F6E2AC">
            <w:pPr>
              <w:spacing w:line="560" w:lineRule="exact"/>
              <w:jc w:val="center"/>
              <w:rPr>
                <w:rFonts w:eastAsia="仿宋_GB2312" w:cs="仿宋_GB2312"/>
                <w:sz w:val="28"/>
                <w:szCs w:val="28"/>
              </w:rPr>
            </w:pPr>
            <w:r>
              <w:rPr>
                <w:rFonts w:hint="eastAsia" w:eastAsia="仿宋_GB2312" w:cs="仿宋_GB2312"/>
                <w:sz w:val="28"/>
                <w:szCs w:val="28"/>
              </w:rPr>
              <w:t>68,824.01</w:t>
            </w:r>
          </w:p>
        </w:tc>
        <w:tc>
          <w:tcPr>
            <w:tcW w:w="1961" w:type="dxa"/>
          </w:tcPr>
          <w:p w14:paraId="1B62C797">
            <w:pPr>
              <w:widowControl/>
              <w:spacing w:line="560" w:lineRule="exact"/>
              <w:jc w:val="center"/>
              <w:textAlignment w:val="top"/>
              <w:rPr>
                <w:rFonts w:eastAsia="仿宋_GB2312" w:cs="仿宋_GB2312"/>
                <w:sz w:val="28"/>
                <w:szCs w:val="28"/>
              </w:rPr>
            </w:pPr>
            <w:r>
              <w:rPr>
                <w:color w:val="000000"/>
                <w:kern w:val="0"/>
                <w:sz w:val="28"/>
                <w:szCs w:val="28"/>
                <w:lang w:bidi="ar"/>
              </w:rPr>
              <w:t>98.08%</w:t>
            </w:r>
          </w:p>
        </w:tc>
      </w:tr>
      <w:tr w14:paraId="6ADF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1" w:type="dxa"/>
          </w:tcPr>
          <w:p w14:paraId="1B8455B1">
            <w:pPr>
              <w:spacing w:line="560" w:lineRule="exact"/>
              <w:jc w:val="center"/>
              <w:rPr>
                <w:rFonts w:eastAsia="仿宋_GB2312" w:cs="仿宋_GB2312"/>
                <w:sz w:val="28"/>
                <w:szCs w:val="28"/>
              </w:rPr>
            </w:pPr>
            <w:r>
              <w:rPr>
                <w:rFonts w:hint="eastAsia" w:eastAsia="仿宋_GB2312" w:cs="仿宋_GB2312"/>
                <w:sz w:val="28"/>
                <w:szCs w:val="28"/>
              </w:rPr>
              <w:t>项目支出</w:t>
            </w:r>
          </w:p>
        </w:tc>
        <w:tc>
          <w:tcPr>
            <w:tcW w:w="1844" w:type="dxa"/>
          </w:tcPr>
          <w:p w14:paraId="3ED82B1C">
            <w:pPr>
              <w:spacing w:line="560" w:lineRule="exact"/>
              <w:jc w:val="center"/>
              <w:rPr>
                <w:rFonts w:eastAsia="仿宋_GB2312" w:cs="仿宋_GB2312"/>
                <w:sz w:val="28"/>
                <w:szCs w:val="28"/>
              </w:rPr>
            </w:pPr>
            <w:r>
              <w:rPr>
                <w:rFonts w:hint="eastAsia" w:eastAsia="仿宋_GB2312" w:cs="仿宋_GB2312"/>
                <w:sz w:val="28"/>
                <w:szCs w:val="28"/>
              </w:rPr>
              <w:t>5,914.2</w:t>
            </w:r>
          </w:p>
        </w:tc>
        <w:tc>
          <w:tcPr>
            <w:tcW w:w="2356" w:type="dxa"/>
          </w:tcPr>
          <w:p w14:paraId="05FAB9C7">
            <w:pPr>
              <w:spacing w:line="560" w:lineRule="exact"/>
              <w:jc w:val="center"/>
              <w:rPr>
                <w:rFonts w:eastAsia="仿宋_GB2312" w:cs="仿宋_GB2312"/>
                <w:sz w:val="28"/>
                <w:szCs w:val="28"/>
              </w:rPr>
            </w:pPr>
            <w:r>
              <w:rPr>
                <w:rFonts w:hint="eastAsia" w:eastAsia="仿宋_GB2312" w:cs="仿宋_GB2312"/>
                <w:sz w:val="28"/>
                <w:szCs w:val="28"/>
              </w:rPr>
              <w:t>24,587.82</w:t>
            </w:r>
          </w:p>
        </w:tc>
        <w:tc>
          <w:tcPr>
            <w:tcW w:w="2013" w:type="dxa"/>
          </w:tcPr>
          <w:p w14:paraId="7EB5AA48">
            <w:pPr>
              <w:spacing w:line="560" w:lineRule="exact"/>
              <w:jc w:val="center"/>
              <w:rPr>
                <w:rFonts w:eastAsia="仿宋_GB2312" w:cs="仿宋_GB2312"/>
                <w:sz w:val="28"/>
                <w:szCs w:val="28"/>
              </w:rPr>
            </w:pPr>
            <w:r>
              <w:rPr>
                <w:rFonts w:hint="eastAsia" w:eastAsia="仿宋_GB2312" w:cs="仿宋_GB2312"/>
                <w:sz w:val="28"/>
                <w:szCs w:val="28"/>
              </w:rPr>
              <w:t>23,842.65</w:t>
            </w:r>
          </w:p>
        </w:tc>
        <w:tc>
          <w:tcPr>
            <w:tcW w:w="1961" w:type="dxa"/>
          </w:tcPr>
          <w:p w14:paraId="1A5285B1">
            <w:pPr>
              <w:widowControl/>
              <w:spacing w:line="560" w:lineRule="exact"/>
              <w:jc w:val="center"/>
              <w:textAlignment w:val="top"/>
              <w:rPr>
                <w:rFonts w:eastAsia="仿宋_GB2312" w:cs="仿宋_GB2312"/>
                <w:sz w:val="28"/>
                <w:szCs w:val="28"/>
              </w:rPr>
            </w:pPr>
            <w:r>
              <w:rPr>
                <w:color w:val="000000"/>
                <w:kern w:val="0"/>
                <w:sz w:val="28"/>
                <w:szCs w:val="28"/>
                <w:lang w:bidi="ar"/>
              </w:rPr>
              <w:t>96.97%</w:t>
            </w:r>
          </w:p>
        </w:tc>
      </w:tr>
      <w:tr w14:paraId="50FE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31" w:type="dxa"/>
          </w:tcPr>
          <w:p w14:paraId="20739C95">
            <w:pPr>
              <w:spacing w:line="560" w:lineRule="exact"/>
              <w:jc w:val="center"/>
              <w:rPr>
                <w:rFonts w:eastAsia="仿宋_GB2312" w:cs="仿宋_GB2312"/>
                <w:b/>
                <w:bCs/>
                <w:sz w:val="28"/>
                <w:szCs w:val="28"/>
              </w:rPr>
            </w:pPr>
            <w:r>
              <w:rPr>
                <w:rFonts w:hint="eastAsia" w:eastAsia="仿宋_GB2312" w:cs="仿宋_GB2312"/>
                <w:b/>
                <w:bCs/>
                <w:sz w:val="28"/>
                <w:szCs w:val="28"/>
              </w:rPr>
              <w:t>合计</w:t>
            </w:r>
          </w:p>
        </w:tc>
        <w:tc>
          <w:tcPr>
            <w:tcW w:w="1844" w:type="dxa"/>
          </w:tcPr>
          <w:p w14:paraId="0E4ACB49">
            <w:pPr>
              <w:spacing w:line="560" w:lineRule="exact"/>
              <w:jc w:val="center"/>
              <w:rPr>
                <w:rFonts w:eastAsia="仿宋_GB2312" w:cs="仿宋_GB2312"/>
                <w:b/>
                <w:bCs/>
                <w:sz w:val="28"/>
                <w:szCs w:val="28"/>
              </w:rPr>
            </w:pPr>
            <w:r>
              <w:rPr>
                <w:rFonts w:hint="eastAsia" w:eastAsia="仿宋_GB2312" w:cs="仿宋_GB2312"/>
                <w:b/>
                <w:bCs/>
                <w:sz w:val="28"/>
                <w:szCs w:val="28"/>
              </w:rPr>
              <w:t>63,903.00</w:t>
            </w:r>
          </w:p>
        </w:tc>
        <w:tc>
          <w:tcPr>
            <w:tcW w:w="2356" w:type="dxa"/>
          </w:tcPr>
          <w:p w14:paraId="66656A1D">
            <w:pPr>
              <w:spacing w:line="560" w:lineRule="exact"/>
              <w:jc w:val="center"/>
              <w:rPr>
                <w:rFonts w:eastAsia="仿宋_GB2312" w:cs="仿宋_GB2312"/>
                <w:b/>
                <w:bCs/>
                <w:sz w:val="28"/>
                <w:szCs w:val="28"/>
              </w:rPr>
            </w:pPr>
            <w:r>
              <w:rPr>
                <w:rFonts w:hint="eastAsia" w:eastAsia="仿宋_GB2312" w:cs="仿宋_GB2312"/>
                <w:b/>
                <w:bCs/>
                <w:sz w:val="28"/>
                <w:szCs w:val="28"/>
              </w:rPr>
              <w:t>94,760.63</w:t>
            </w:r>
          </w:p>
        </w:tc>
        <w:tc>
          <w:tcPr>
            <w:tcW w:w="2013" w:type="dxa"/>
          </w:tcPr>
          <w:p w14:paraId="5BA4B605">
            <w:pPr>
              <w:spacing w:line="560" w:lineRule="exact"/>
              <w:jc w:val="center"/>
              <w:rPr>
                <w:rFonts w:eastAsia="仿宋_GB2312" w:cs="仿宋_GB2312"/>
                <w:b/>
                <w:bCs/>
                <w:sz w:val="28"/>
                <w:szCs w:val="28"/>
              </w:rPr>
            </w:pPr>
            <w:r>
              <w:rPr>
                <w:rFonts w:hint="eastAsia" w:eastAsia="仿宋_GB2312" w:cs="仿宋_GB2312"/>
                <w:b/>
                <w:bCs/>
                <w:sz w:val="28"/>
                <w:szCs w:val="28"/>
              </w:rPr>
              <w:t>92,666.66</w:t>
            </w:r>
          </w:p>
        </w:tc>
        <w:tc>
          <w:tcPr>
            <w:tcW w:w="1961" w:type="dxa"/>
          </w:tcPr>
          <w:p w14:paraId="58E7D5B3">
            <w:pPr>
              <w:widowControl/>
              <w:spacing w:line="560" w:lineRule="exact"/>
              <w:jc w:val="center"/>
              <w:textAlignment w:val="top"/>
              <w:rPr>
                <w:rFonts w:eastAsia="仿宋_GB2312" w:cs="仿宋_GB2312"/>
                <w:b/>
                <w:bCs/>
                <w:sz w:val="28"/>
                <w:szCs w:val="28"/>
              </w:rPr>
            </w:pPr>
            <w:r>
              <w:rPr>
                <w:b/>
                <w:bCs/>
                <w:color w:val="000000"/>
                <w:kern w:val="0"/>
                <w:sz w:val="28"/>
                <w:szCs w:val="28"/>
                <w:lang w:bidi="ar"/>
              </w:rPr>
              <w:t>97.79%</w:t>
            </w:r>
          </w:p>
        </w:tc>
      </w:tr>
    </w:tbl>
    <w:p w14:paraId="40FEA5F0">
      <w:pPr>
        <w:spacing w:line="560" w:lineRule="exact"/>
        <w:ind w:firstLine="643" w:firstLineChars="200"/>
        <w:rPr>
          <w:rFonts w:eastAsia="仿宋_GB2312" w:cs="仿宋_GB2312"/>
          <w:b/>
          <w:sz w:val="32"/>
          <w:szCs w:val="32"/>
        </w:rPr>
      </w:pPr>
      <w:r>
        <w:rPr>
          <w:rFonts w:hint="eastAsia" w:eastAsia="仿宋_GB2312" w:cs="仿宋_GB2312"/>
          <w:b/>
          <w:sz w:val="32"/>
          <w:szCs w:val="32"/>
        </w:rPr>
        <w:t>2.“三公”经费情况</w:t>
      </w:r>
    </w:p>
    <w:p w14:paraId="0430B332">
      <w:pPr>
        <w:spacing w:line="560" w:lineRule="exact"/>
        <w:ind w:firstLine="640" w:firstLineChars="200"/>
        <w:rPr>
          <w:rFonts w:eastAsia="仿宋_GB2312" w:cs="仿宋_GB2312"/>
          <w:sz w:val="32"/>
          <w:szCs w:val="32"/>
        </w:rPr>
      </w:pPr>
      <w:r>
        <w:rPr>
          <w:rFonts w:hint="eastAsia" w:eastAsia="仿宋_GB2312" w:cs="仿宋_GB2312"/>
          <w:sz w:val="32"/>
          <w:szCs w:val="32"/>
        </w:rPr>
        <w:t>2025年南京晓庄学院“三公”经费预算安排</w:t>
      </w:r>
      <w:r>
        <w:rPr>
          <w:rFonts w:hint="eastAsia" w:eastAsia="仿宋_GB2312" w:cs="仿宋_GB2312"/>
          <w:color w:val="000000"/>
          <w:kern w:val="0"/>
          <w:sz w:val="32"/>
          <w:szCs w:val="32"/>
          <w:lang w:bidi="ar"/>
        </w:rPr>
        <w:t>127.67</w:t>
      </w:r>
      <w:r>
        <w:rPr>
          <w:rFonts w:hint="eastAsia" w:eastAsia="仿宋_GB2312" w:cs="仿宋_GB2312"/>
          <w:sz w:val="32"/>
          <w:szCs w:val="32"/>
        </w:rPr>
        <w:t>万元，其中：</w:t>
      </w:r>
      <w:r>
        <w:rPr>
          <w:rFonts w:hint="eastAsia" w:eastAsia="仿宋_GB2312" w:cs="仿宋_GB2312"/>
          <w:color w:val="000000"/>
          <w:kern w:val="0"/>
          <w:sz w:val="32"/>
          <w:szCs w:val="32"/>
          <w:lang w:bidi="ar"/>
        </w:rPr>
        <w:t>因公出国（境）费</w:t>
      </w:r>
      <w:r>
        <w:rPr>
          <w:color w:val="000000"/>
          <w:kern w:val="0"/>
          <w:sz w:val="32"/>
          <w:szCs w:val="32"/>
          <w:lang w:bidi="ar"/>
        </w:rPr>
        <w:t>76.6</w:t>
      </w:r>
      <w:r>
        <w:rPr>
          <w:rFonts w:hint="eastAsia" w:eastAsia="仿宋_GB2312" w:cs="仿宋_GB2312"/>
          <w:sz w:val="32"/>
          <w:szCs w:val="32"/>
        </w:rPr>
        <w:t>万元，</w:t>
      </w:r>
      <w:r>
        <w:rPr>
          <w:rFonts w:hint="eastAsia" w:eastAsia="仿宋_GB2312" w:cs="仿宋_GB2312"/>
          <w:color w:val="000000"/>
          <w:kern w:val="0"/>
          <w:sz w:val="32"/>
          <w:szCs w:val="32"/>
          <w:lang w:bidi="ar"/>
        </w:rPr>
        <w:t>公务用车运行维护费</w:t>
      </w:r>
      <w:r>
        <w:rPr>
          <w:color w:val="000000"/>
          <w:kern w:val="0"/>
          <w:sz w:val="32"/>
          <w:szCs w:val="32"/>
          <w:lang w:bidi="ar"/>
        </w:rPr>
        <w:t>51.07</w:t>
      </w:r>
      <w:r>
        <w:rPr>
          <w:rFonts w:hint="eastAsia" w:eastAsia="仿宋_GB2312" w:cs="仿宋_GB2312"/>
          <w:sz w:val="32"/>
          <w:szCs w:val="32"/>
        </w:rPr>
        <w:t>万元，</w:t>
      </w:r>
      <w:r>
        <w:rPr>
          <w:rFonts w:hint="eastAsia" w:eastAsia="仿宋_GB2312" w:cs="仿宋_GB2312"/>
          <w:color w:val="000000"/>
          <w:kern w:val="0"/>
          <w:sz w:val="32"/>
          <w:szCs w:val="32"/>
          <w:lang w:bidi="ar"/>
        </w:rPr>
        <w:t>公务接待费</w:t>
      </w:r>
      <w:r>
        <w:rPr>
          <w:color w:val="000000"/>
          <w:kern w:val="0"/>
          <w:sz w:val="32"/>
          <w:szCs w:val="32"/>
          <w:lang w:bidi="ar"/>
        </w:rPr>
        <w:t>50</w:t>
      </w:r>
      <w:r>
        <w:rPr>
          <w:rFonts w:hint="eastAsia" w:eastAsia="仿宋_GB2312" w:cs="仿宋_GB2312"/>
          <w:sz w:val="32"/>
          <w:szCs w:val="32"/>
        </w:rPr>
        <w:t>万元。调整后预算</w:t>
      </w:r>
      <w:r>
        <w:rPr>
          <w:rFonts w:hint="eastAsia" w:eastAsia="仿宋_GB2312" w:cs="仿宋_GB2312"/>
          <w:color w:val="000000"/>
          <w:kern w:val="0"/>
          <w:sz w:val="32"/>
          <w:szCs w:val="32"/>
          <w:lang w:bidi="ar"/>
        </w:rPr>
        <w:t>127.67</w:t>
      </w:r>
      <w:r>
        <w:rPr>
          <w:rFonts w:hint="eastAsia" w:eastAsia="仿宋_GB2312" w:cs="仿宋_GB2312"/>
          <w:sz w:val="32"/>
          <w:szCs w:val="32"/>
        </w:rPr>
        <w:t>万元，与预算安排相同。</w:t>
      </w:r>
    </w:p>
    <w:p w14:paraId="5B5731D2">
      <w:pPr>
        <w:spacing w:line="560" w:lineRule="exact"/>
        <w:ind w:firstLine="640" w:firstLineChars="200"/>
        <w:rPr>
          <w:rFonts w:eastAsia="仿宋_GB2312" w:cs="仿宋_GB2312"/>
          <w:sz w:val="32"/>
          <w:szCs w:val="32"/>
        </w:rPr>
      </w:pPr>
      <w:r>
        <w:rPr>
          <w:rFonts w:hint="eastAsia" w:eastAsia="仿宋_GB2312" w:cs="仿宋_GB2312"/>
          <w:sz w:val="32"/>
          <w:szCs w:val="32"/>
        </w:rPr>
        <w:t>2025年南京晓庄学院实际支出</w:t>
      </w:r>
      <w:r>
        <w:rPr>
          <w:rFonts w:hint="eastAsia" w:eastAsia="仿宋_GB2312" w:cs="仿宋_GB2312"/>
          <w:color w:val="000000"/>
          <w:kern w:val="0"/>
          <w:sz w:val="32"/>
          <w:szCs w:val="32"/>
          <w:lang w:bidi="ar"/>
        </w:rPr>
        <w:t>87.83</w:t>
      </w:r>
      <w:r>
        <w:rPr>
          <w:rFonts w:hint="eastAsia" w:eastAsia="仿宋_GB2312" w:cs="仿宋_GB2312"/>
          <w:sz w:val="32"/>
          <w:szCs w:val="32"/>
        </w:rPr>
        <w:t>万元，预算执行率68.79%。其中：</w:t>
      </w:r>
      <w:r>
        <w:rPr>
          <w:rFonts w:hint="eastAsia" w:eastAsia="仿宋_GB2312" w:cs="仿宋_GB2312"/>
          <w:color w:val="000000"/>
          <w:kern w:val="0"/>
          <w:sz w:val="32"/>
          <w:szCs w:val="32"/>
          <w:lang w:bidi="ar"/>
        </w:rPr>
        <w:t>因公出国（境）费</w:t>
      </w:r>
      <w:r>
        <w:rPr>
          <w:color w:val="000000"/>
          <w:kern w:val="0"/>
          <w:sz w:val="32"/>
          <w:szCs w:val="32"/>
          <w:lang w:bidi="ar"/>
        </w:rPr>
        <w:t>36.76</w:t>
      </w:r>
      <w:r>
        <w:rPr>
          <w:rFonts w:hint="eastAsia" w:eastAsia="仿宋_GB2312" w:cs="仿宋_GB2312"/>
          <w:sz w:val="32"/>
          <w:szCs w:val="32"/>
        </w:rPr>
        <w:t>万元，预算执行率47.99%；</w:t>
      </w:r>
      <w:r>
        <w:rPr>
          <w:rFonts w:hint="eastAsia" w:eastAsia="仿宋_GB2312" w:cs="仿宋_GB2312"/>
          <w:color w:val="000000"/>
          <w:kern w:val="0"/>
          <w:sz w:val="32"/>
          <w:szCs w:val="32"/>
          <w:lang w:bidi="ar"/>
        </w:rPr>
        <w:t>公务用车运行维护费</w:t>
      </w:r>
      <w:r>
        <w:rPr>
          <w:color w:val="000000"/>
          <w:kern w:val="0"/>
          <w:sz w:val="32"/>
          <w:szCs w:val="32"/>
          <w:lang w:bidi="ar"/>
        </w:rPr>
        <w:t>51.07</w:t>
      </w:r>
      <w:r>
        <w:rPr>
          <w:rFonts w:hint="eastAsia" w:eastAsia="仿宋_GB2312" w:cs="仿宋_GB2312"/>
          <w:sz w:val="32"/>
          <w:szCs w:val="32"/>
        </w:rPr>
        <w:t>万元，预算执行率100%；</w:t>
      </w:r>
      <w:r>
        <w:rPr>
          <w:rFonts w:hint="eastAsia" w:eastAsia="仿宋_GB2312" w:cs="仿宋_GB2312"/>
          <w:color w:val="000000"/>
          <w:kern w:val="0"/>
          <w:sz w:val="32"/>
          <w:szCs w:val="32"/>
          <w:lang w:bidi="ar"/>
        </w:rPr>
        <w:t>公务接待费6.09万元</w:t>
      </w:r>
      <w:r>
        <w:rPr>
          <w:rFonts w:hint="eastAsia" w:eastAsia="仿宋_GB2312" w:cs="仿宋_GB2312"/>
          <w:sz w:val="32"/>
          <w:szCs w:val="32"/>
        </w:rPr>
        <w:t>，预算执行率12.18%。详情见表2。</w:t>
      </w:r>
    </w:p>
    <w:p w14:paraId="3B1F2905">
      <w:pPr>
        <w:spacing w:line="560" w:lineRule="exact"/>
        <w:jc w:val="center"/>
        <w:rPr>
          <w:rFonts w:eastAsia="仿宋_GB2312" w:cs="仿宋_GB2312"/>
          <w:b/>
          <w:bCs/>
          <w:sz w:val="32"/>
          <w:szCs w:val="32"/>
        </w:rPr>
      </w:pPr>
      <w:r>
        <w:rPr>
          <w:rFonts w:hint="eastAsia" w:eastAsia="仿宋_GB2312" w:cs="仿宋_GB2312"/>
          <w:b/>
          <w:bCs/>
          <w:sz w:val="32"/>
          <w:szCs w:val="32"/>
        </w:rPr>
        <w:t>表2  2025年南京晓庄学院“三公”经费安排与支出情况表</w:t>
      </w:r>
    </w:p>
    <w:p w14:paraId="35757597">
      <w:pPr>
        <w:spacing w:line="560" w:lineRule="exact"/>
        <w:ind w:firstLine="643" w:firstLineChars="200"/>
        <w:jc w:val="right"/>
        <w:rPr>
          <w:rFonts w:eastAsia="仿宋_GB2312" w:cs="仿宋_GB2312"/>
          <w:b/>
          <w:bCs/>
          <w:sz w:val="32"/>
          <w:szCs w:val="32"/>
        </w:rPr>
      </w:pPr>
      <w:r>
        <w:rPr>
          <w:rFonts w:hint="eastAsia" w:eastAsia="仿宋_GB2312" w:cs="仿宋_GB2312"/>
          <w:b/>
          <w:bCs/>
          <w:sz w:val="32"/>
          <w:szCs w:val="32"/>
        </w:rPr>
        <w:t>单位：万元</w:t>
      </w:r>
    </w:p>
    <w:tbl>
      <w:tblPr>
        <w:tblStyle w:val="6"/>
        <w:tblW w:w="9913" w:type="dxa"/>
        <w:tblInd w:w="-6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13"/>
        <w:gridCol w:w="1675"/>
        <w:gridCol w:w="1931"/>
        <w:gridCol w:w="1706"/>
        <w:gridCol w:w="1788"/>
      </w:tblGrid>
      <w:tr w14:paraId="5BAE1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13" w:type="dxa"/>
            <w:tcBorders>
              <w:tl2br w:val="nil"/>
              <w:tr2bl w:val="nil"/>
            </w:tcBorders>
            <w:shd w:val="clear" w:color="auto" w:fill="auto"/>
            <w:vAlign w:val="center"/>
          </w:tcPr>
          <w:p w14:paraId="762CF459">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支出类别</w:t>
            </w:r>
          </w:p>
        </w:tc>
        <w:tc>
          <w:tcPr>
            <w:tcW w:w="1675" w:type="dxa"/>
            <w:tcBorders>
              <w:tl2br w:val="nil"/>
              <w:tr2bl w:val="nil"/>
            </w:tcBorders>
            <w:shd w:val="clear" w:color="auto" w:fill="auto"/>
            <w:vAlign w:val="center"/>
          </w:tcPr>
          <w:p w14:paraId="35A6FA03">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年初预算数</w:t>
            </w:r>
          </w:p>
        </w:tc>
        <w:tc>
          <w:tcPr>
            <w:tcW w:w="1931" w:type="dxa"/>
            <w:tcBorders>
              <w:tl2br w:val="nil"/>
              <w:tr2bl w:val="nil"/>
            </w:tcBorders>
            <w:shd w:val="clear" w:color="auto" w:fill="auto"/>
            <w:vAlign w:val="center"/>
          </w:tcPr>
          <w:p w14:paraId="61D20C58">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调整后预算数</w:t>
            </w:r>
          </w:p>
        </w:tc>
        <w:tc>
          <w:tcPr>
            <w:tcW w:w="1706" w:type="dxa"/>
            <w:tcBorders>
              <w:tl2br w:val="nil"/>
              <w:tr2bl w:val="nil"/>
            </w:tcBorders>
            <w:shd w:val="clear" w:color="auto" w:fill="auto"/>
            <w:vAlign w:val="center"/>
          </w:tcPr>
          <w:p w14:paraId="52308234">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实际支出数</w:t>
            </w:r>
          </w:p>
        </w:tc>
        <w:tc>
          <w:tcPr>
            <w:tcW w:w="1788" w:type="dxa"/>
            <w:tcBorders>
              <w:tl2br w:val="nil"/>
              <w:tr2bl w:val="nil"/>
            </w:tcBorders>
            <w:shd w:val="clear" w:color="auto" w:fill="auto"/>
            <w:vAlign w:val="center"/>
          </w:tcPr>
          <w:p w14:paraId="29FFF6DC">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预算执行率</w:t>
            </w:r>
          </w:p>
        </w:tc>
      </w:tr>
      <w:tr w14:paraId="7BE0A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13" w:type="dxa"/>
            <w:tcBorders>
              <w:tl2br w:val="nil"/>
              <w:tr2bl w:val="nil"/>
            </w:tcBorders>
            <w:shd w:val="clear" w:color="auto" w:fill="auto"/>
            <w:vAlign w:val="center"/>
          </w:tcPr>
          <w:p w14:paraId="4040AD7E">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因公出国（境）费</w:t>
            </w:r>
          </w:p>
        </w:tc>
        <w:tc>
          <w:tcPr>
            <w:tcW w:w="1675" w:type="dxa"/>
            <w:tcBorders>
              <w:tl2br w:val="nil"/>
              <w:tr2bl w:val="nil"/>
            </w:tcBorders>
            <w:shd w:val="clear" w:color="auto" w:fill="auto"/>
            <w:vAlign w:val="center"/>
          </w:tcPr>
          <w:p w14:paraId="0C4C8E8C">
            <w:pPr>
              <w:widowControl/>
              <w:spacing w:line="560" w:lineRule="exact"/>
              <w:jc w:val="center"/>
              <w:textAlignment w:val="top"/>
              <w:rPr>
                <w:color w:val="000000"/>
                <w:sz w:val="28"/>
                <w:szCs w:val="28"/>
              </w:rPr>
            </w:pPr>
            <w:r>
              <w:rPr>
                <w:color w:val="000000"/>
                <w:kern w:val="0"/>
                <w:sz w:val="28"/>
                <w:szCs w:val="28"/>
                <w:lang w:bidi="ar"/>
              </w:rPr>
              <w:t>76.6</w:t>
            </w:r>
          </w:p>
        </w:tc>
        <w:tc>
          <w:tcPr>
            <w:tcW w:w="1931" w:type="dxa"/>
            <w:tcBorders>
              <w:tl2br w:val="nil"/>
              <w:tr2bl w:val="nil"/>
            </w:tcBorders>
            <w:shd w:val="clear" w:color="auto" w:fill="auto"/>
            <w:vAlign w:val="center"/>
          </w:tcPr>
          <w:p w14:paraId="7005472E">
            <w:pPr>
              <w:widowControl/>
              <w:spacing w:line="560" w:lineRule="exact"/>
              <w:jc w:val="center"/>
              <w:textAlignment w:val="top"/>
              <w:rPr>
                <w:color w:val="000000"/>
                <w:sz w:val="28"/>
                <w:szCs w:val="28"/>
              </w:rPr>
            </w:pPr>
            <w:r>
              <w:rPr>
                <w:color w:val="000000"/>
                <w:kern w:val="0"/>
                <w:sz w:val="28"/>
                <w:szCs w:val="28"/>
                <w:lang w:bidi="ar"/>
              </w:rPr>
              <w:t>76.6</w:t>
            </w:r>
          </w:p>
        </w:tc>
        <w:tc>
          <w:tcPr>
            <w:tcW w:w="1706" w:type="dxa"/>
            <w:tcBorders>
              <w:tl2br w:val="nil"/>
              <w:tr2bl w:val="nil"/>
            </w:tcBorders>
            <w:shd w:val="clear" w:color="auto" w:fill="auto"/>
            <w:vAlign w:val="center"/>
          </w:tcPr>
          <w:p w14:paraId="1588A401">
            <w:pPr>
              <w:widowControl/>
              <w:spacing w:line="560" w:lineRule="exact"/>
              <w:jc w:val="center"/>
              <w:textAlignment w:val="top"/>
              <w:rPr>
                <w:color w:val="000000"/>
                <w:sz w:val="28"/>
                <w:szCs w:val="28"/>
              </w:rPr>
            </w:pPr>
            <w:r>
              <w:rPr>
                <w:color w:val="000000"/>
                <w:kern w:val="0"/>
                <w:sz w:val="28"/>
                <w:szCs w:val="28"/>
                <w:lang w:bidi="ar"/>
              </w:rPr>
              <w:t>36.76</w:t>
            </w:r>
          </w:p>
        </w:tc>
        <w:tc>
          <w:tcPr>
            <w:tcW w:w="1788" w:type="dxa"/>
            <w:tcBorders>
              <w:tl2br w:val="nil"/>
              <w:tr2bl w:val="nil"/>
            </w:tcBorders>
            <w:shd w:val="clear" w:color="auto" w:fill="auto"/>
            <w:vAlign w:val="center"/>
          </w:tcPr>
          <w:p w14:paraId="36086A3E">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47.99%</w:t>
            </w:r>
          </w:p>
        </w:tc>
      </w:tr>
      <w:tr w14:paraId="2249A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13" w:type="dxa"/>
            <w:tcBorders>
              <w:tl2br w:val="nil"/>
              <w:tr2bl w:val="nil"/>
            </w:tcBorders>
            <w:shd w:val="clear" w:color="auto" w:fill="auto"/>
            <w:vAlign w:val="center"/>
          </w:tcPr>
          <w:p w14:paraId="74BFAAED">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公务用车运行维护费</w:t>
            </w:r>
          </w:p>
        </w:tc>
        <w:tc>
          <w:tcPr>
            <w:tcW w:w="1675" w:type="dxa"/>
            <w:tcBorders>
              <w:tl2br w:val="nil"/>
              <w:tr2bl w:val="nil"/>
            </w:tcBorders>
            <w:shd w:val="clear" w:color="auto" w:fill="auto"/>
            <w:vAlign w:val="center"/>
          </w:tcPr>
          <w:p w14:paraId="780D4F23">
            <w:pPr>
              <w:widowControl/>
              <w:spacing w:line="560" w:lineRule="exact"/>
              <w:jc w:val="center"/>
              <w:textAlignment w:val="top"/>
              <w:rPr>
                <w:color w:val="000000"/>
                <w:sz w:val="28"/>
                <w:szCs w:val="28"/>
              </w:rPr>
            </w:pPr>
            <w:r>
              <w:rPr>
                <w:color w:val="000000"/>
                <w:kern w:val="0"/>
                <w:sz w:val="28"/>
                <w:szCs w:val="28"/>
                <w:lang w:bidi="ar"/>
              </w:rPr>
              <w:t>51.07</w:t>
            </w:r>
          </w:p>
        </w:tc>
        <w:tc>
          <w:tcPr>
            <w:tcW w:w="1931" w:type="dxa"/>
            <w:tcBorders>
              <w:tl2br w:val="nil"/>
              <w:tr2bl w:val="nil"/>
            </w:tcBorders>
            <w:shd w:val="clear" w:color="auto" w:fill="auto"/>
            <w:vAlign w:val="center"/>
          </w:tcPr>
          <w:p w14:paraId="31A1FA76">
            <w:pPr>
              <w:widowControl/>
              <w:spacing w:line="560" w:lineRule="exact"/>
              <w:jc w:val="center"/>
              <w:textAlignment w:val="top"/>
              <w:rPr>
                <w:color w:val="000000"/>
                <w:sz w:val="28"/>
                <w:szCs w:val="28"/>
              </w:rPr>
            </w:pPr>
            <w:r>
              <w:rPr>
                <w:color w:val="000000"/>
                <w:kern w:val="0"/>
                <w:sz w:val="28"/>
                <w:szCs w:val="28"/>
                <w:lang w:bidi="ar"/>
              </w:rPr>
              <w:t>51.07</w:t>
            </w:r>
          </w:p>
        </w:tc>
        <w:tc>
          <w:tcPr>
            <w:tcW w:w="1706" w:type="dxa"/>
            <w:tcBorders>
              <w:tl2br w:val="nil"/>
              <w:tr2bl w:val="nil"/>
            </w:tcBorders>
            <w:shd w:val="clear" w:color="auto" w:fill="auto"/>
            <w:vAlign w:val="center"/>
          </w:tcPr>
          <w:p w14:paraId="2E124760">
            <w:pPr>
              <w:widowControl/>
              <w:spacing w:line="560" w:lineRule="exact"/>
              <w:jc w:val="center"/>
              <w:textAlignment w:val="top"/>
              <w:rPr>
                <w:color w:val="000000"/>
                <w:sz w:val="28"/>
                <w:szCs w:val="28"/>
              </w:rPr>
            </w:pPr>
            <w:r>
              <w:rPr>
                <w:color w:val="000000"/>
                <w:kern w:val="0"/>
                <w:sz w:val="28"/>
                <w:szCs w:val="28"/>
                <w:lang w:bidi="ar"/>
              </w:rPr>
              <w:t>51.07</w:t>
            </w:r>
          </w:p>
        </w:tc>
        <w:tc>
          <w:tcPr>
            <w:tcW w:w="1788" w:type="dxa"/>
            <w:tcBorders>
              <w:tl2br w:val="nil"/>
              <w:tr2bl w:val="nil"/>
            </w:tcBorders>
            <w:shd w:val="clear" w:color="auto" w:fill="auto"/>
            <w:vAlign w:val="center"/>
          </w:tcPr>
          <w:p w14:paraId="0E4904CC">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100.00%</w:t>
            </w:r>
          </w:p>
        </w:tc>
      </w:tr>
      <w:tr w14:paraId="4DB84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13" w:type="dxa"/>
            <w:tcBorders>
              <w:tl2br w:val="nil"/>
              <w:tr2bl w:val="nil"/>
            </w:tcBorders>
            <w:shd w:val="clear" w:color="auto" w:fill="auto"/>
            <w:vAlign w:val="center"/>
          </w:tcPr>
          <w:p w14:paraId="7FAC94D1">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公务接待费</w:t>
            </w:r>
          </w:p>
        </w:tc>
        <w:tc>
          <w:tcPr>
            <w:tcW w:w="1675" w:type="dxa"/>
            <w:tcBorders>
              <w:tl2br w:val="nil"/>
              <w:tr2bl w:val="nil"/>
            </w:tcBorders>
            <w:shd w:val="clear" w:color="auto" w:fill="auto"/>
            <w:vAlign w:val="center"/>
          </w:tcPr>
          <w:p w14:paraId="1AD62245">
            <w:pPr>
              <w:widowControl/>
              <w:spacing w:line="560" w:lineRule="exact"/>
              <w:jc w:val="center"/>
              <w:textAlignment w:val="top"/>
              <w:rPr>
                <w:color w:val="000000"/>
                <w:sz w:val="28"/>
                <w:szCs w:val="28"/>
              </w:rPr>
            </w:pPr>
            <w:r>
              <w:rPr>
                <w:color w:val="000000"/>
                <w:kern w:val="0"/>
                <w:sz w:val="28"/>
                <w:szCs w:val="28"/>
                <w:lang w:bidi="ar"/>
              </w:rPr>
              <w:t>50</w:t>
            </w:r>
          </w:p>
        </w:tc>
        <w:tc>
          <w:tcPr>
            <w:tcW w:w="1931" w:type="dxa"/>
            <w:tcBorders>
              <w:tl2br w:val="nil"/>
              <w:tr2bl w:val="nil"/>
            </w:tcBorders>
            <w:shd w:val="clear" w:color="auto" w:fill="auto"/>
            <w:vAlign w:val="center"/>
          </w:tcPr>
          <w:p w14:paraId="23ED6CC9">
            <w:pPr>
              <w:widowControl/>
              <w:spacing w:line="560" w:lineRule="exact"/>
              <w:jc w:val="center"/>
              <w:textAlignment w:val="top"/>
              <w:rPr>
                <w:color w:val="000000"/>
                <w:sz w:val="28"/>
                <w:szCs w:val="28"/>
              </w:rPr>
            </w:pPr>
            <w:r>
              <w:rPr>
                <w:color w:val="000000"/>
                <w:kern w:val="0"/>
                <w:sz w:val="28"/>
                <w:szCs w:val="28"/>
                <w:lang w:bidi="ar"/>
              </w:rPr>
              <w:t>50</w:t>
            </w:r>
          </w:p>
        </w:tc>
        <w:tc>
          <w:tcPr>
            <w:tcW w:w="1706" w:type="dxa"/>
            <w:tcBorders>
              <w:tl2br w:val="nil"/>
              <w:tr2bl w:val="nil"/>
            </w:tcBorders>
            <w:shd w:val="clear" w:color="auto" w:fill="auto"/>
            <w:vAlign w:val="center"/>
          </w:tcPr>
          <w:p w14:paraId="66732BF1">
            <w:pPr>
              <w:widowControl/>
              <w:spacing w:line="560" w:lineRule="exact"/>
              <w:jc w:val="center"/>
              <w:textAlignment w:val="top"/>
              <w:rPr>
                <w:color w:val="000000"/>
                <w:sz w:val="28"/>
                <w:szCs w:val="28"/>
              </w:rPr>
            </w:pPr>
            <w:r>
              <w:rPr>
                <w:color w:val="000000"/>
                <w:kern w:val="0"/>
                <w:sz w:val="28"/>
                <w:szCs w:val="28"/>
                <w:lang w:bidi="ar"/>
              </w:rPr>
              <w:t>6.09</w:t>
            </w:r>
          </w:p>
        </w:tc>
        <w:tc>
          <w:tcPr>
            <w:tcW w:w="1788" w:type="dxa"/>
            <w:tcBorders>
              <w:tl2br w:val="nil"/>
              <w:tr2bl w:val="nil"/>
            </w:tcBorders>
            <w:shd w:val="clear" w:color="auto" w:fill="auto"/>
            <w:vAlign w:val="center"/>
          </w:tcPr>
          <w:p w14:paraId="6B699CFB">
            <w:pPr>
              <w:widowControl/>
              <w:spacing w:line="560" w:lineRule="exact"/>
              <w:jc w:val="center"/>
              <w:textAlignment w:val="top"/>
              <w:rPr>
                <w:rFonts w:eastAsia="仿宋_GB2312" w:cs="仿宋_GB2312"/>
                <w:color w:val="000000"/>
                <w:sz w:val="28"/>
                <w:szCs w:val="28"/>
              </w:rPr>
            </w:pPr>
            <w:r>
              <w:rPr>
                <w:rFonts w:hint="eastAsia" w:eastAsia="仿宋_GB2312" w:cs="仿宋_GB2312"/>
                <w:color w:val="000000"/>
                <w:kern w:val="0"/>
                <w:sz w:val="28"/>
                <w:szCs w:val="28"/>
                <w:lang w:bidi="ar"/>
              </w:rPr>
              <w:t>12.18%</w:t>
            </w:r>
          </w:p>
        </w:tc>
      </w:tr>
      <w:tr w14:paraId="53325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2813" w:type="dxa"/>
            <w:tcBorders>
              <w:tl2br w:val="nil"/>
              <w:tr2bl w:val="nil"/>
            </w:tcBorders>
            <w:shd w:val="clear" w:color="auto" w:fill="auto"/>
            <w:vAlign w:val="center"/>
          </w:tcPr>
          <w:p w14:paraId="3093DBEB">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合计</w:t>
            </w:r>
          </w:p>
        </w:tc>
        <w:tc>
          <w:tcPr>
            <w:tcW w:w="1675" w:type="dxa"/>
            <w:tcBorders>
              <w:tl2br w:val="nil"/>
              <w:tr2bl w:val="nil"/>
            </w:tcBorders>
            <w:shd w:val="clear" w:color="auto" w:fill="auto"/>
            <w:vAlign w:val="center"/>
          </w:tcPr>
          <w:p w14:paraId="33689D24">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127.67</w:t>
            </w:r>
          </w:p>
        </w:tc>
        <w:tc>
          <w:tcPr>
            <w:tcW w:w="1931" w:type="dxa"/>
            <w:tcBorders>
              <w:tl2br w:val="nil"/>
              <w:tr2bl w:val="nil"/>
            </w:tcBorders>
            <w:shd w:val="clear" w:color="auto" w:fill="auto"/>
            <w:vAlign w:val="center"/>
          </w:tcPr>
          <w:p w14:paraId="4F612E97">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127.67</w:t>
            </w:r>
          </w:p>
        </w:tc>
        <w:tc>
          <w:tcPr>
            <w:tcW w:w="1706" w:type="dxa"/>
            <w:tcBorders>
              <w:tl2br w:val="nil"/>
              <w:tr2bl w:val="nil"/>
            </w:tcBorders>
            <w:shd w:val="clear" w:color="auto" w:fill="auto"/>
            <w:vAlign w:val="center"/>
          </w:tcPr>
          <w:p w14:paraId="5E453FC1">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87.83</w:t>
            </w:r>
          </w:p>
        </w:tc>
        <w:tc>
          <w:tcPr>
            <w:tcW w:w="1788" w:type="dxa"/>
            <w:tcBorders>
              <w:tl2br w:val="nil"/>
              <w:tr2bl w:val="nil"/>
            </w:tcBorders>
            <w:shd w:val="clear" w:color="auto" w:fill="auto"/>
            <w:vAlign w:val="center"/>
          </w:tcPr>
          <w:p w14:paraId="21ABB458">
            <w:pPr>
              <w:widowControl/>
              <w:spacing w:line="560" w:lineRule="exact"/>
              <w:jc w:val="center"/>
              <w:textAlignment w:val="top"/>
              <w:rPr>
                <w:rFonts w:eastAsia="仿宋_GB2312" w:cs="仿宋_GB2312"/>
                <w:b/>
                <w:bCs/>
                <w:color w:val="000000"/>
                <w:sz w:val="28"/>
                <w:szCs w:val="28"/>
              </w:rPr>
            </w:pPr>
            <w:r>
              <w:rPr>
                <w:rFonts w:hint="eastAsia" w:eastAsia="仿宋_GB2312" w:cs="仿宋_GB2312"/>
                <w:b/>
                <w:bCs/>
                <w:color w:val="000000"/>
                <w:kern w:val="0"/>
                <w:sz w:val="28"/>
                <w:szCs w:val="28"/>
                <w:lang w:bidi="ar"/>
              </w:rPr>
              <w:t>68.79%</w:t>
            </w:r>
          </w:p>
        </w:tc>
      </w:tr>
    </w:tbl>
    <w:p w14:paraId="4D3337D5">
      <w:pPr>
        <w:spacing w:line="560" w:lineRule="exact"/>
        <w:ind w:firstLine="643" w:firstLineChars="200"/>
        <w:rPr>
          <w:rFonts w:eastAsia="仿宋_GB2312" w:cs="仿宋_GB2312"/>
          <w:b/>
          <w:bCs/>
          <w:sz w:val="32"/>
          <w:szCs w:val="32"/>
        </w:rPr>
      </w:pPr>
      <w:r>
        <w:rPr>
          <w:rFonts w:hint="eastAsia" w:eastAsia="仿宋_GB2312" w:cs="仿宋_GB2312"/>
          <w:b/>
          <w:bCs/>
          <w:sz w:val="32"/>
          <w:szCs w:val="32"/>
        </w:rPr>
        <w:t>3.专项资金情况</w:t>
      </w:r>
    </w:p>
    <w:p w14:paraId="40F1C730">
      <w:pPr>
        <w:spacing w:line="560" w:lineRule="exact"/>
        <w:ind w:firstLine="640" w:firstLineChars="200"/>
        <w:rPr>
          <w:rFonts w:eastAsia="仿宋_GB2312" w:cs="仿宋_GB2312"/>
          <w:sz w:val="32"/>
          <w:szCs w:val="32"/>
        </w:rPr>
      </w:pPr>
      <w:r>
        <w:rPr>
          <w:rFonts w:hint="eastAsia" w:eastAsia="仿宋_GB2312" w:cs="仿宋_GB2312"/>
          <w:sz w:val="32"/>
          <w:szCs w:val="32"/>
        </w:rPr>
        <w:t>南京晓庄学院无实际重点专项资金项目。</w:t>
      </w:r>
    </w:p>
    <w:p w14:paraId="167349FE">
      <w:pPr>
        <w:spacing w:line="560" w:lineRule="exact"/>
        <w:ind w:firstLine="640" w:firstLineChars="200"/>
        <w:rPr>
          <w:rFonts w:eastAsia="楷体_GB2312"/>
          <w:bCs/>
          <w:sz w:val="32"/>
          <w:szCs w:val="32"/>
        </w:rPr>
      </w:pPr>
      <w:r>
        <w:rPr>
          <w:rFonts w:hint="eastAsia" w:eastAsia="楷体_GB2312"/>
          <w:bCs/>
          <w:sz w:val="32"/>
          <w:szCs w:val="32"/>
        </w:rPr>
        <w:t>（三）单位绩效目标</w:t>
      </w:r>
    </w:p>
    <w:p w14:paraId="5FEA48AC">
      <w:pPr>
        <w:spacing w:line="560" w:lineRule="exact"/>
        <w:ind w:firstLine="643" w:firstLineChars="200"/>
        <w:rPr>
          <w:rFonts w:eastAsia="仿宋_GB2312"/>
          <w:b/>
          <w:bCs/>
          <w:sz w:val="32"/>
          <w:szCs w:val="32"/>
        </w:rPr>
      </w:pPr>
      <w:r>
        <w:rPr>
          <w:rFonts w:hint="eastAsia" w:eastAsia="仿宋_GB2312"/>
          <w:b/>
          <w:bCs/>
          <w:sz w:val="32"/>
          <w:szCs w:val="32"/>
        </w:rPr>
        <w:t>1.中长期绩效目标</w:t>
      </w:r>
    </w:p>
    <w:p w14:paraId="39F2DF8D">
      <w:pPr>
        <w:spacing w:line="560" w:lineRule="exact"/>
        <w:ind w:firstLine="640" w:firstLineChars="200"/>
        <w:rPr>
          <w:rFonts w:eastAsia="仿宋_GB2312" w:cs="仿宋_GB2312"/>
          <w:sz w:val="32"/>
          <w:szCs w:val="32"/>
        </w:rPr>
      </w:pPr>
      <w:r>
        <w:rPr>
          <w:rFonts w:hint="eastAsia" w:eastAsia="仿宋_GB2312" w:cs="仿宋_GB2312"/>
          <w:sz w:val="32"/>
          <w:szCs w:val="32"/>
        </w:rPr>
        <w:t>学校坚持</w:t>
      </w:r>
      <w:r>
        <w:rPr>
          <w:rFonts w:hint="eastAsia" w:eastAsia="仿宋_GB2312" w:cs="仿宋_GB2312"/>
          <w:sz w:val="32"/>
          <w:szCs w:val="32"/>
          <w:lang w:eastAsia="zh-CN"/>
        </w:rPr>
        <w:t>以教师</w:t>
      </w:r>
      <w:r>
        <w:rPr>
          <w:rFonts w:hint="eastAsia" w:eastAsia="仿宋_GB2312" w:cs="仿宋_GB2312"/>
          <w:sz w:val="32"/>
          <w:szCs w:val="32"/>
        </w:rPr>
        <w:t>教育为特色、适应地方经济社会发展需要的新文科和新工科协调发展的办学定位。未来五年是学校建设百年晓庄、铸就新时代教师教育特色鲜明高水平大学的关键阶段。学校将秉持新发展理念，构建新发展格局，加速内涵建设。全力推进一流应用型本科高校建设，优化学科专业布局，新增一批硕士学位授予点，部分指标和学位点达到博士学位授权条件。同时，在立德树人、教师教育建设、学科内涵充实、科研创新强化、人才引育、开放办学拓展、行知精神弘扬、支撑保障完善等方面持续发力，提升发展质量。将来建成为省内一流、国内外知名且对南京区域发展具有重要贡献的师范类大学。</w:t>
      </w:r>
    </w:p>
    <w:p w14:paraId="357701BC">
      <w:pPr>
        <w:spacing w:line="560" w:lineRule="exact"/>
        <w:ind w:firstLine="643" w:firstLineChars="200"/>
        <w:rPr>
          <w:rFonts w:eastAsia="仿宋_GB2312"/>
          <w:b/>
          <w:bCs/>
          <w:sz w:val="32"/>
          <w:szCs w:val="32"/>
        </w:rPr>
      </w:pPr>
      <w:r>
        <w:rPr>
          <w:rFonts w:hint="eastAsia" w:eastAsia="仿宋_GB2312"/>
          <w:b/>
          <w:bCs/>
          <w:sz w:val="32"/>
          <w:szCs w:val="32"/>
        </w:rPr>
        <w:t>2.年度绩效目标</w:t>
      </w:r>
    </w:p>
    <w:p w14:paraId="318A5726">
      <w:pPr>
        <w:spacing w:line="560" w:lineRule="exact"/>
        <w:ind w:firstLine="640" w:firstLineChars="200"/>
        <w:rPr>
          <w:rFonts w:eastAsia="仿宋_GB2312" w:cs="仿宋_GB2312"/>
          <w:sz w:val="32"/>
          <w:szCs w:val="32"/>
        </w:rPr>
      </w:pPr>
      <w:r>
        <w:rPr>
          <w:rFonts w:hint="eastAsia" w:eastAsia="仿宋_GB2312" w:cs="仿宋_GB2312"/>
          <w:sz w:val="32"/>
          <w:szCs w:val="32"/>
        </w:rPr>
        <w:t>根据南京晓庄学院单位职责、年度主要工作任务、年度工作要点，2025年南京晓庄学院年度目标主要聚焦以下几个方面：</w:t>
      </w:r>
    </w:p>
    <w:p w14:paraId="233E1C15">
      <w:pPr>
        <w:spacing w:line="560" w:lineRule="exact"/>
        <w:ind w:firstLine="640" w:firstLineChars="200"/>
        <w:rPr>
          <w:rFonts w:eastAsia="仿宋_GB2312" w:cs="仿宋_GB2312"/>
          <w:sz w:val="32"/>
          <w:szCs w:val="32"/>
        </w:rPr>
      </w:pPr>
      <w:r>
        <w:rPr>
          <w:rFonts w:hint="eastAsia" w:eastAsia="仿宋_GB2312" w:cs="仿宋_GB2312"/>
          <w:sz w:val="32"/>
          <w:szCs w:val="32"/>
        </w:rPr>
        <w:t>一是擦亮行知品牌，推动特色发展新质效。加强行知教育思想研究，丰富陶行知教育家思想内涵；弘扬行知教育精神，助力教师队伍师德师风建设；优化教师教育培养路径，输送高质量教师队伍，做优教师教育培训，建强基层治理学院，全方位提升综合培养培训社会服务效能。</w:t>
      </w:r>
    </w:p>
    <w:p w14:paraId="20C80BDA">
      <w:pPr>
        <w:spacing w:line="560" w:lineRule="exact"/>
        <w:ind w:firstLine="640" w:firstLineChars="200"/>
        <w:rPr>
          <w:rFonts w:eastAsia="仿宋_GB2312" w:cs="仿宋_GB2312"/>
          <w:sz w:val="32"/>
          <w:szCs w:val="32"/>
        </w:rPr>
      </w:pPr>
      <w:r>
        <w:rPr>
          <w:rFonts w:hint="eastAsia" w:eastAsia="仿宋_GB2312" w:cs="仿宋_GB2312"/>
          <w:sz w:val="32"/>
          <w:szCs w:val="32"/>
        </w:rPr>
        <w:t>二是坚持立德树人，提高人才培养新质量。持续深化改革，做好整体谋划，做实学生思想政治教育和引领，完善一流本科人才培养体系，巩固“大爱学工”品牌，全面提升人才培养质量，做好教育教学质量保障工作。</w:t>
      </w:r>
    </w:p>
    <w:p w14:paraId="357B62D8">
      <w:pPr>
        <w:spacing w:line="560" w:lineRule="exact"/>
        <w:ind w:firstLine="640" w:firstLineChars="200"/>
        <w:rPr>
          <w:rFonts w:eastAsia="仿宋_GB2312" w:cs="仿宋_GB2312"/>
          <w:sz w:val="32"/>
          <w:szCs w:val="32"/>
        </w:rPr>
      </w:pPr>
      <w:r>
        <w:rPr>
          <w:rFonts w:hint="eastAsia" w:eastAsia="仿宋_GB2312" w:cs="仿宋_GB2312"/>
          <w:sz w:val="32"/>
          <w:szCs w:val="32"/>
        </w:rPr>
        <w:t>三是优化学科布局，建设“学术晓庄”新高地。加强硕士点建设和培育，推进重点学科建设，实现科研成果新突破、打造人才引擎，落实人才强校新举措，全面加强师德师风建设，精准引进高层次人才，优化师资队伍管理。</w:t>
      </w:r>
    </w:p>
    <w:p w14:paraId="598BB83B">
      <w:pPr>
        <w:spacing w:line="560" w:lineRule="exact"/>
        <w:ind w:firstLine="640" w:firstLineChars="200"/>
        <w:rPr>
          <w:rFonts w:eastAsia="仿宋_GB2312" w:cs="仿宋_GB2312"/>
          <w:sz w:val="32"/>
          <w:szCs w:val="32"/>
        </w:rPr>
      </w:pPr>
      <w:r>
        <w:rPr>
          <w:rFonts w:hint="eastAsia" w:eastAsia="仿宋_GB2312" w:cs="仿宋_GB2312"/>
          <w:sz w:val="32"/>
          <w:szCs w:val="32"/>
        </w:rPr>
        <w:t>四是提升服务水平，助力地方发展新动力。聚焦科研创新成果转化，推动科技成果转化，推动新型智库建设；打造心理健康服务品牌，开展全国未成年人心理健康工作队伍业务培训，推进省重大招标课题的研究，提升研究能力。</w:t>
      </w:r>
    </w:p>
    <w:p w14:paraId="60279F60">
      <w:pPr>
        <w:spacing w:line="560" w:lineRule="exact"/>
        <w:ind w:firstLine="640" w:firstLineChars="200"/>
        <w:rPr>
          <w:rFonts w:eastAsia="仿宋_GB2312" w:cs="仿宋_GB2312"/>
          <w:sz w:val="32"/>
          <w:szCs w:val="32"/>
        </w:rPr>
      </w:pPr>
      <w:r>
        <w:rPr>
          <w:rFonts w:hint="eastAsia" w:eastAsia="仿宋_GB2312" w:cs="仿宋_GB2312"/>
          <w:sz w:val="32"/>
          <w:szCs w:val="32"/>
        </w:rPr>
        <w:t>五是找准合作方位，促进对外开放新路径。加强对外合作交流，扎实推进已签协议落实，拓展对外合作渠道；推动高质量国际合作与交流，服务省市对外开放战略，优化学校对外开放布局。</w:t>
      </w:r>
    </w:p>
    <w:p w14:paraId="6B1A0DF3">
      <w:pPr>
        <w:spacing w:line="560" w:lineRule="exact"/>
        <w:ind w:firstLine="640" w:firstLineChars="200"/>
        <w:rPr>
          <w:rFonts w:eastAsia="仿宋_GB2312" w:cs="仿宋_GB2312"/>
          <w:sz w:val="32"/>
          <w:szCs w:val="32"/>
        </w:rPr>
      </w:pPr>
      <w:r>
        <w:rPr>
          <w:rFonts w:hint="eastAsia" w:eastAsia="仿宋_GB2312" w:cs="仿宋_GB2312"/>
          <w:sz w:val="32"/>
          <w:szCs w:val="32"/>
        </w:rPr>
        <w:t>六是夯实条件保障，推进治理能力新机制。推进学校治理体系现代化，强化安全保卫和后勤服务保障支撑，优化财务、审计、国资管理工作，提升信息化、数智化服务水平，加强校友会、基金会工作。</w:t>
      </w:r>
    </w:p>
    <w:p w14:paraId="61960894">
      <w:pPr>
        <w:spacing w:line="560" w:lineRule="exact"/>
        <w:ind w:firstLine="640" w:firstLineChars="200"/>
        <w:rPr>
          <w:rFonts w:eastAsia="黑体"/>
          <w:sz w:val="32"/>
          <w:szCs w:val="32"/>
        </w:rPr>
      </w:pPr>
      <w:r>
        <w:rPr>
          <w:rFonts w:hint="eastAsia" w:eastAsia="黑体"/>
          <w:sz w:val="32"/>
          <w:szCs w:val="32"/>
        </w:rPr>
        <w:t>二、评价结论</w:t>
      </w:r>
    </w:p>
    <w:p w14:paraId="53D405C8">
      <w:pPr>
        <w:spacing w:line="560" w:lineRule="exact"/>
        <w:ind w:firstLine="640" w:firstLineChars="200"/>
        <w:rPr>
          <w:rFonts w:eastAsia="楷体_GB2312"/>
          <w:bCs/>
          <w:sz w:val="32"/>
          <w:szCs w:val="32"/>
        </w:rPr>
      </w:pPr>
      <w:r>
        <w:rPr>
          <w:rFonts w:hint="eastAsia" w:eastAsia="楷体_GB2312"/>
          <w:bCs/>
          <w:sz w:val="32"/>
          <w:szCs w:val="32"/>
        </w:rPr>
        <w:t>（一）评价对象与范围</w:t>
      </w:r>
    </w:p>
    <w:p w14:paraId="07EEB8B4">
      <w:pPr>
        <w:spacing w:line="560" w:lineRule="exact"/>
        <w:ind w:firstLine="640" w:firstLineChars="200"/>
        <w:rPr>
          <w:rFonts w:eastAsia="仿宋_GB2312" w:cs="仿宋_GB2312"/>
          <w:bCs/>
          <w:sz w:val="32"/>
          <w:szCs w:val="32"/>
        </w:rPr>
      </w:pPr>
      <w:r>
        <w:rPr>
          <w:rFonts w:hint="eastAsia" w:eastAsia="仿宋_GB2312" w:cs="仿宋_GB2312"/>
          <w:bCs/>
          <w:sz w:val="32"/>
          <w:szCs w:val="32"/>
        </w:rPr>
        <w:t>本次评价对象为南京晓庄学院部门整体资金94,760.63万元，包括基本支出70,172.81万元和项目支出24,587.82万元。评价时段为2025年1月1日至12月31日。</w:t>
      </w:r>
    </w:p>
    <w:p w14:paraId="6C308C35">
      <w:pPr>
        <w:spacing w:line="560" w:lineRule="exact"/>
        <w:ind w:firstLine="640" w:firstLineChars="200"/>
        <w:rPr>
          <w:rFonts w:eastAsia="楷体_GB2312"/>
          <w:bCs/>
          <w:sz w:val="32"/>
          <w:szCs w:val="32"/>
        </w:rPr>
      </w:pPr>
      <w:r>
        <w:rPr>
          <w:rFonts w:hint="eastAsia" w:eastAsia="楷体_GB2312"/>
          <w:bCs/>
          <w:sz w:val="32"/>
          <w:szCs w:val="32"/>
        </w:rPr>
        <w:t>（二）绩效评价结论</w:t>
      </w:r>
    </w:p>
    <w:p w14:paraId="1D7FBDA6">
      <w:pPr>
        <w:spacing w:line="560" w:lineRule="exact"/>
        <w:ind w:firstLine="640" w:firstLineChars="200"/>
        <w:rPr>
          <w:rFonts w:eastAsia="仿宋_GB2312" w:cs="仿宋_GB2312"/>
          <w:bCs/>
          <w:sz w:val="32"/>
          <w:szCs w:val="32"/>
        </w:rPr>
      </w:pPr>
      <w:r>
        <w:rPr>
          <w:rFonts w:hint="eastAsia" w:eastAsia="仿宋_GB2312" w:cs="仿宋_GB2312"/>
          <w:bCs/>
          <w:sz w:val="32"/>
          <w:szCs w:val="32"/>
        </w:rPr>
        <w:t>2025年南京晓庄学院整体绩效评价指标体系满分100分，另设置5分加分项和减分项。经综合评价，2025年度南京晓庄学院整体绩效评价得分99.97分，加分项加1分，综合得分100.97分，等级为优。整体而言，2025年度南京晓庄学院全面加强党的领导，落实立德树人根本任务，传承弘扬陶行知教育思想精髓，围绕新时代教师教育特色鲜明的高水平大学奋斗目标，聚力重点任务，务实笃行、砥砺奋进，不断提升服务国家重大战略和区域经济社会发展能力，推动学校事业高质量发展再建新功，顺利完成了年度目标任务，履职绩效显著。</w:t>
      </w:r>
      <w:r>
        <w:rPr>
          <w:rFonts w:eastAsia="仿宋_GB2312" w:cs="仿宋_GB2312"/>
          <w:bCs/>
          <w:sz w:val="32"/>
          <w:szCs w:val="32"/>
        </w:rPr>
        <w:t>但也存在年度预算整体执行率未达100%</w:t>
      </w:r>
      <w:r>
        <w:rPr>
          <w:rFonts w:hint="eastAsia" w:eastAsia="仿宋_GB2312" w:cs="仿宋_GB2312"/>
          <w:bCs/>
          <w:sz w:val="32"/>
          <w:szCs w:val="32"/>
        </w:rPr>
        <w:t>，</w:t>
      </w:r>
      <w:r>
        <w:rPr>
          <w:rFonts w:eastAsia="仿宋_GB2312" w:cs="仿宋_GB2312"/>
          <w:bCs/>
          <w:sz w:val="32"/>
          <w:szCs w:val="32"/>
        </w:rPr>
        <w:t>部分资金使用统筹效能不足等问题</w:t>
      </w:r>
      <w:r>
        <w:rPr>
          <w:rFonts w:hint="eastAsia" w:eastAsia="仿宋_GB2312" w:cs="仿宋_GB2312"/>
          <w:bCs/>
          <w:sz w:val="32"/>
          <w:szCs w:val="32"/>
        </w:rPr>
        <w:t>。</w:t>
      </w:r>
      <w:r>
        <w:rPr>
          <w:rFonts w:eastAsia="仿宋_GB2312" w:cs="仿宋_GB2312"/>
          <w:bCs/>
          <w:sz w:val="32"/>
          <w:szCs w:val="32"/>
        </w:rPr>
        <w:t>后续拟进一步健全预算全过程管理体系，压实二级单位执行责任，细化项目实施时序计划，常态化开展执行进度督导，全面提升预算执行效率与资金使用效益。</w:t>
      </w:r>
    </w:p>
    <w:p w14:paraId="489B4E77">
      <w:pPr>
        <w:spacing w:line="560" w:lineRule="exact"/>
        <w:ind w:firstLine="640" w:firstLineChars="200"/>
        <w:rPr>
          <w:rFonts w:eastAsia="黑体" w:cs="仿宋_GB2312"/>
          <w:sz w:val="32"/>
          <w:szCs w:val="32"/>
        </w:rPr>
      </w:pPr>
      <w:r>
        <w:rPr>
          <w:rFonts w:hint="eastAsia" w:eastAsia="黑体" w:cs="仿宋_GB2312"/>
          <w:sz w:val="32"/>
          <w:szCs w:val="32"/>
        </w:rPr>
        <w:t>三、部门履职成效</w:t>
      </w:r>
    </w:p>
    <w:p w14:paraId="091DF7D0">
      <w:pPr>
        <w:spacing w:line="560" w:lineRule="exact"/>
        <w:ind w:firstLine="640" w:firstLineChars="200"/>
        <w:rPr>
          <w:rFonts w:eastAsia="楷体_GB2312"/>
          <w:bCs/>
          <w:sz w:val="32"/>
          <w:szCs w:val="32"/>
        </w:rPr>
      </w:pPr>
      <w:r>
        <w:rPr>
          <w:rFonts w:hint="eastAsia" w:eastAsia="楷体_GB2312"/>
          <w:bCs/>
          <w:sz w:val="32"/>
          <w:szCs w:val="32"/>
        </w:rPr>
        <w:t>（一）部门决策评价分析</w:t>
      </w:r>
    </w:p>
    <w:p w14:paraId="5DB88C1A">
      <w:pPr>
        <w:spacing w:line="560" w:lineRule="exact"/>
        <w:ind w:firstLine="640" w:firstLineChars="200"/>
        <w:rPr>
          <w:rFonts w:eastAsia="仿宋_GB2312" w:cs="仿宋_GB2312"/>
          <w:sz w:val="32"/>
          <w:szCs w:val="32"/>
        </w:rPr>
      </w:pPr>
      <w:r>
        <w:rPr>
          <w:rFonts w:hint="eastAsia" w:eastAsia="仿宋_GB2312" w:cs="仿宋_GB2312"/>
          <w:sz w:val="32"/>
          <w:szCs w:val="32"/>
        </w:rPr>
        <w:t>该指标分值15分，评价得分15分。</w:t>
      </w:r>
    </w:p>
    <w:p w14:paraId="0BE39B5D">
      <w:pPr>
        <w:spacing w:line="560" w:lineRule="exact"/>
        <w:ind w:firstLine="640" w:firstLineChars="200"/>
        <w:rPr>
          <w:rFonts w:eastAsia="仿宋_GB2312" w:cs="仿宋_GB2312"/>
          <w:sz w:val="32"/>
          <w:szCs w:val="32"/>
        </w:rPr>
      </w:pPr>
      <w:r>
        <w:rPr>
          <w:rFonts w:hint="eastAsia" w:eastAsia="仿宋_GB2312" w:cs="仿宋_GB2312"/>
          <w:sz w:val="32"/>
          <w:szCs w:val="32"/>
        </w:rPr>
        <w:t>学校根据国家、省市要求制定《南京晓庄学院“十四五”教师教育发展规划》，根据单位职能定位，制定未来五年发展的主要目标和任务以及制定2025年度工作计划和工作要点，并分解至各职能部门、二级学院，职责明确。严格按照财政要求编制整体预算绩效和项目预算绩效，保证绩效目标合理和绩效指标明确。严格按照财政要求科学编制单位预算，与学校重点工作任务紧密匹配，保证预算编制科学规范。</w:t>
      </w:r>
    </w:p>
    <w:p w14:paraId="35CBF110">
      <w:pPr>
        <w:spacing w:line="560" w:lineRule="exact"/>
        <w:ind w:firstLine="640" w:firstLineChars="200"/>
        <w:rPr>
          <w:rFonts w:eastAsia="楷体_GB2312"/>
          <w:bCs/>
          <w:sz w:val="32"/>
          <w:szCs w:val="32"/>
        </w:rPr>
      </w:pPr>
      <w:r>
        <w:rPr>
          <w:rFonts w:hint="eastAsia" w:eastAsia="楷体_GB2312"/>
          <w:bCs/>
          <w:sz w:val="32"/>
          <w:szCs w:val="32"/>
        </w:rPr>
        <w:t>（二）部门过程管理评价分析</w:t>
      </w:r>
    </w:p>
    <w:p w14:paraId="6BEBC814">
      <w:pPr>
        <w:spacing w:line="560" w:lineRule="exact"/>
        <w:ind w:firstLine="640" w:firstLineChars="200"/>
        <w:rPr>
          <w:rFonts w:eastAsia="仿宋_GB2312" w:cs="仿宋_GB2312"/>
          <w:sz w:val="32"/>
          <w:szCs w:val="32"/>
        </w:rPr>
      </w:pPr>
      <w:r>
        <w:rPr>
          <w:rFonts w:hint="eastAsia" w:eastAsia="仿宋_GB2312" w:cs="仿宋_GB2312"/>
          <w:sz w:val="32"/>
          <w:szCs w:val="32"/>
        </w:rPr>
        <w:t>该指标分值20分，评价得分19.97分。</w:t>
      </w:r>
    </w:p>
    <w:p w14:paraId="4F679C3A">
      <w:pPr>
        <w:spacing w:line="560" w:lineRule="exact"/>
        <w:ind w:firstLine="640" w:firstLineChars="200"/>
        <w:rPr>
          <w:rFonts w:eastAsia="仿宋_GB2312" w:cs="仿宋_GB2312"/>
          <w:sz w:val="32"/>
          <w:szCs w:val="32"/>
        </w:rPr>
      </w:pPr>
      <w:r>
        <w:rPr>
          <w:rFonts w:hint="eastAsia" w:eastAsia="仿宋_GB2312" w:cs="仿宋_GB2312"/>
          <w:sz w:val="32"/>
          <w:szCs w:val="32"/>
        </w:rPr>
        <w:t>在预算执行方面，学校预算执行精准高效，预算调整率为0%；支付进度符合率100%；学校2025年预算执行率97.79%，主要因为部分项目按照财政要求在年中进行预算优化调整；预算结转结余率为0%；严格控制公用经费和“三公”经费支出，未出现超支情况，“三公”经费变动率为0%；严格执行政府采购，政府采购执行率100%；及时上缴非税收入，非税收入完成率100%。</w:t>
      </w:r>
    </w:p>
    <w:p w14:paraId="54E14BBD">
      <w:pPr>
        <w:spacing w:line="560" w:lineRule="exact"/>
        <w:ind w:firstLine="640" w:firstLineChars="200"/>
        <w:rPr>
          <w:rFonts w:eastAsia="仿宋_GB2312" w:cs="仿宋_GB2312"/>
          <w:sz w:val="32"/>
          <w:szCs w:val="32"/>
        </w:rPr>
      </w:pPr>
      <w:r>
        <w:rPr>
          <w:rFonts w:hint="eastAsia" w:eastAsia="仿宋_GB2312" w:cs="仿宋_GB2312"/>
          <w:sz w:val="32"/>
          <w:szCs w:val="32"/>
        </w:rPr>
        <w:t>在预算管理方面，学校制定健全的预算管理制度，保证资金使用合规，绩效管理100%覆盖，预算基础信息完善，预决算信息在规定的时间内在江苏省预决算公开统一平台和南京晓庄学院官网进行双公开，预算收入管理合规。在资产管理方面，制定健全的资产管理制度，保证资产管理规范，提高资产利用率，资产利用率100%。</w:t>
      </w:r>
    </w:p>
    <w:p w14:paraId="6223765D">
      <w:pPr>
        <w:spacing w:line="560" w:lineRule="exact"/>
        <w:ind w:firstLine="640" w:firstLineChars="200"/>
        <w:rPr>
          <w:rFonts w:eastAsia="仿宋_GB2312" w:cs="仿宋_GB2312"/>
          <w:sz w:val="32"/>
          <w:szCs w:val="32"/>
        </w:rPr>
      </w:pPr>
      <w:r>
        <w:rPr>
          <w:rFonts w:hint="eastAsia" w:eastAsia="仿宋_GB2312" w:cs="仿宋_GB2312"/>
          <w:sz w:val="32"/>
          <w:szCs w:val="32"/>
        </w:rPr>
        <w:t>在项目管理方面，制定健全的项目管理制度，保证相关制度规范执行。</w:t>
      </w:r>
    </w:p>
    <w:p w14:paraId="0580AC6C">
      <w:pPr>
        <w:spacing w:line="560" w:lineRule="exact"/>
        <w:ind w:firstLine="640" w:firstLineChars="200"/>
        <w:rPr>
          <w:rFonts w:eastAsia="仿宋_GB2312" w:cs="仿宋_GB2312"/>
          <w:sz w:val="32"/>
          <w:szCs w:val="32"/>
        </w:rPr>
      </w:pPr>
      <w:r>
        <w:rPr>
          <w:rFonts w:hint="eastAsia" w:eastAsia="仿宋_GB2312" w:cs="仿宋_GB2312"/>
          <w:sz w:val="32"/>
          <w:szCs w:val="32"/>
        </w:rPr>
        <w:t>在人员管理方面，建立健全人员管理制度，保证相关制度有效执行，在职人员控制率100%。</w:t>
      </w:r>
    </w:p>
    <w:p w14:paraId="34636E85">
      <w:pPr>
        <w:spacing w:line="560" w:lineRule="exact"/>
        <w:ind w:firstLine="640" w:firstLineChars="200"/>
        <w:rPr>
          <w:rFonts w:eastAsia="仿宋_GB2312" w:cs="仿宋_GB2312"/>
          <w:sz w:val="32"/>
          <w:szCs w:val="32"/>
        </w:rPr>
      </w:pPr>
      <w:r>
        <w:rPr>
          <w:rFonts w:hint="eastAsia" w:eastAsia="仿宋_GB2312" w:cs="仿宋_GB2312"/>
          <w:sz w:val="32"/>
          <w:szCs w:val="32"/>
        </w:rPr>
        <w:t>在机构建设方面，组织建设工作及时完成，业务学习与培训及时完成，纪检监察工作有效执行。</w:t>
      </w:r>
    </w:p>
    <w:p w14:paraId="6593C280">
      <w:pPr>
        <w:spacing w:line="560" w:lineRule="exact"/>
        <w:ind w:firstLine="640" w:firstLineChars="200"/>
        <w:rPr>
          <w:rFonts w:eastAsia="楷体_GB2312"/>
          <w:bCs/>
          <w:sz w:val="32"/>
          <w:szCs w:val="32"/>
        </w:rPr>
      </w:pPr>
      <w:r>
        <w:rPr>
          <w:rFonts w:hint="eastAsia" w:eastAsia="楷体_GB2312"/>
          <w:bCs/>
          <w:sz w:val="32"/>
          <w:szCs w:val="32"/>
        </w:rPr>
        <w:t>（三）部门履职评价分析</w:t>
      </w:r>
    </w:p>
    <w:p w14:paraId="70998EB3">
      <w:pPr>
        <w:spacing w:line="560" w:lineRule="exact"/>
        <w:ind w:firstLine="640" w:firstLineChars="200"/>
        <w:rPr>
          <w:rFonts w:eastAsia="仿宋_GB2312" w:cs="仿宋_GB2312"/>
          <w:sz w:val="32"/>
          <w:szCs w:val="32"/>
        </w:rPr>
      </w:pPr>
      <w:r>
        <w:rPr>
          <w:rFonts w:hint="eastAsia" w:eastAsia="仿宋_GB2312" w:cs="仿宋_GB2312"/>
          <w:sz w:val="32"/>
          <w:szCs w:val="32"/>
        </w:rPr>
        <w:t>该指标分值30分，评价得分30分。</w:t>
      </w:r>
    </w:p>
    <w:p w14:paraId="4E045FF0">
      <w:pPr>
        <w:spacing w:line="560" w:lineRule="exact"/>
        <w:ind w:firstLine="640" w:firstLineChars="200"/>
        <w:rPr>
          <w:rFonts w:eastAsia="仿宋_GB2312" w:cs="仿宋_GB2312"/>
          <w:sz w:val="32"/>
          <w:szCs w:val="32"/>
        </w:rPr>
      </w:pPr>
      <w:r>
        <w:rPr>
          <w:rFonts w:hint="eastAsia" w:eastAsia="仿宋_GB2312" w:cs="仿宋_GB2312"/>
          <w:sz w:val="32"/>
          <w:szCs w:val="32"/>
        </w:rPr>
        <w:t>学校根据单位职能，制定2025年度工作计划和预算绩效目标，围绕计划和目标开展业务工作，在人才培养、教学管理、科研管理、师资队伍建设、社会服务和学校服务保障方面取得明显成效。</w:t>
      </w:r>
    </w:p>
    <w:p w14:paraId="18E15E38">
      <w:pPr>
        <w:spacing w:line="560" w:lineRule="exact"/>
        <w:ind w:firstLine="640" w:firstLineChars="200"/>
        <w:rPr>
          <w:rFonts w:eastAsia="仿宋_GB2312" w:cs="仿宋_GB2312"/>
          <w:color w:val="000000"/>
          <w:kern w:val="0"/>
          <w:sz w:val="31"/>
          <w:szCs w:val="31"/>
          <w:lang w:bidi="ar"/>
        </w:rPr>
      </w:pPr>
      <w:r>
        <w:rPr>
          <w:rFonts w:hint="eastAsia" w:eastAsia="仿宋_GB2312" w:cs="仿宋_GB2312"/>
          <w:sz w:val="32"/>
          <w:szCs w:val="32"/>
        </w:rPr>
        <w:t>在人才培养方面，深化人才培养改革，提升办学品质，</w:t>
      </w:r>
      <w:r>
        <w:rPr>
          <w:rFonts w:hint="eastAsia" w:eastAsia="仿宋_GB2312" w:cs="仿宋_GB2312"/>
          <w:color w:val="000000"/>
          <w:kern w:val="0"/>
          <w:sz w:val="31"/>
          <w:szCs w:val="31"/>
          <w:lang w:bidi="ar"/>
        </w:rPr>
        <w:t>人才培养质量稳步提升。学校在人才培养与队伍建设</w:t>
      </w:r>
      <w:r>
        <w:rPr>
          <w:rFonts w:hint="eastAsia" w:eastAsia="仿宋_GB2312" w:cs="仿宋_GB2312"/>
          <w:color w:val="000000"/>
          <w:kern w:val="0"/>
          <w:sz w:val="31"/>
          <w:szCs w:val="31"/>
          <w:lang w:eastAsia="zh-CN" w:bidi="ar"/>
        </w:rPr>
        <w:t>上协调</w:t>
      </w:r>
      <w:r>
        <w:rPr>
          <w:rFonts w:hint="eastAsia" w:eastAsia="仿宋_GB2312" w:cs="仿宋_GB2312"/>
          <w:color w:val="000000"/>
          <w:kern w:val="0"/>
          <w:sz w:val="31"/>
          <w:szCs w:val="31"/>
          <w:lang w:bidi="ar"/>
        </w:rPr>
        <w:t>发力，获批</w:t>
      </w:r>
      <w:r>
        <w:rPr>
          <w:rFonts w:hint="eastAsia" w:eastAsia="仿宋_GB2312" w:cs="仿宋_GB2312"/>
          <w:sz w:val="32"/>
          <w:szCs w:val="32"/>
        </w:rPr>
        <w:t>国家级、省级一流专业点19个，国家级、省级一流课程32门；搭建多元化科创实践载体，鼓励学生积极参与各类科创竞赛，累计斩获各级各类科创奖项778项，促进学生五育并举全面发展，构建一流本科人才培养体系，科学规划专业布局。</w:t>
      </w:r>
    </w:p>
    <w:p w14:paraId="18E850A1">
      <w:pPr>
        <w:spacing w:line="560" w:lineRule="exact"/>
        <w:ind w:firstLine="640" w:firstLineChars="200"/>
        <w:rPr>
          <w:rFonts w:eastAsia="仿宋_GB2312"/>
          <w:sz w:val="32"/>
          <w:szCs w:val="32"/>
        </w:rPr>
      </w:pPr>
      <w:r>
        <w:rPr>
          <w:rFonts w:hint="eastAsia" w:eastAsia="仿宋_GB2312"/>
          <w:sz w:val="32"/>
          <w:szCs w:val="32"/>
        </w:rPr>
        <w:t>在科研管理方面，</w:t>
      </w:r>
      <w:r>
        <w:rPr>
          <w:rFonts w:hint="eastAsia" w:eastAsia="仿宋_GB2312" w:cs="仿宋_GB2312"/>
          <w:color w:val="000000"/>
          <w:kern w:val="0"/>
          <w:sz w:val="31"/>
          <w:szCs w:val="31"/>
          <w:lang w:bidi="ar"/>
        </w:rPr>
        <w:t>聚焦学科内核，以重点突破带动整体跃升。获批省、市级重点建设学科17个，获批高水平科研项目107项，发表核心期刊论文及以上411篇，科研能力显著提升。</w:t>
      </w:r>
    </w:p>
    <w:p w14:paraId="2369F281">
      <w:pPr>
        <w:spacing w:line="560" w:lineRule="exact"/>
        <w:ind w:firstLine="640" w:firstLineChars="200"/>
        <w:rPr>
          <w:rFonts w:eastAsia="仿宋_GB2312" w:cs="仿宋_GB2312"/>
          <w:sz w:val="32"/>
          <w:szCs w:val="32"/>
        </w:rPr>
      </w:pPr>
      <w:r>
        <w:rPr>
          <w:rFonts w:hint="eastAsia" w:eastAsia="仿宋_GB2312" w:cs="仿宋_GB2312"/>
          <w:sz w:val="32"/>
          <w:szCs w:val="32"/>
        </w:rPr>
        <w:t>在师资队伍建设方面，学校精准引育高层次人才，多名教师、教学团队斩获省级各类人才奖项与教学竞赛荣誉，彰显教师教学水平。专任教师中博士学位占比达到63.21%，教师队伍结构持续优化；创新人才发展机制，构建了科学合理的教师发展体系。</w:t>
      </w:r>
    </w:p>
    <w:p w14:paraId="3288F350">
      <w:pPr>
        <w:spacing w:line="560" w:lineRule="exact"/>
        <w:ind w:firstLine="640" w:firstLineChars="200"/>
        <w:rPr>
          <w:rFonts w:eastAsia="仿宋_GB2312" w:cs="仿宋_GB2312"/>
          <w:sz w:val="32"/>
          <w:szCs w:val="32"/>
        </w:rPr>
      </w:pPr>
      <w:r>
        <w:rPr>
          <w:rFonts w:hint="eastAsia" w:eastAsia="仿宋_GB2312" w:cs="仿宋_GB2312"/>
          <w:sz w:val="32"/>
          <w:szCs w:val="32"/>
        </w:rPr>
        <w:t>在社会服务方面，学校充分发挥校地融合优势，深化省市共建合作，依托南京城市基层治理学院、陶老师工作站等平台，构建“政产学研用”协同发展新格局。优化培训服务体系，全年开展社会培训155项，培训满意度达90%以上；强化社会心理服务，陶老师工作站全年提供心理咨询热线服务、面询服务等达16000人次，彰显社会责任担当。</w:t>
      </w:r>
    </w:p>
    <w:p w14:paraId="4AEB2399">
      <w:pPr>
        <w:spacing w:line="560" w:lineRule="exact"/>
        <w:ind w:firstLine="640" w:firstLineChars="200"/>
        <w:rPr>
          <w:rFonts w:eastAsia="仿宋_GB2312" w:cs="仿宋_GB2312"/>
          <w:sz w:val="32"/>
          <w:szCs w:val="32"/>
        </w:rPr>
      </w:pPr>
      <w:r>
        <w:rPr>
          <w:rFonts w:hint="eastAsia" w:eastAsia="仿宋_GB2312" w:cs="仿宋_GB2312"/>
          <w:sz w:val="32"/>
          <w:szCs w:val="32"/>
        </w:rPr>
        <w:t>在学校服务保障方面，坚持以师生为中心，强化依法办学、依规治校，完成学生宿舍、教学家具等设施全面更新维护，基础设施提质升级，师生学习生活环境得到根本性改善；加快提升信息化、数字化治理水平，全方位、多角度推进智慧校园建设，进一步强化基础网络建设与运维、网络信息安全建设；安全保卫和后勤服务优化创新，建立标准化服务体系，提升服务响应效率，师生满意度持续提高。</w:t>
      </w:r>
    </w:p>
    <w:p w14:paraId="39C16EC3">
      <w:pPr>
        <w:spacing w:line="560" w:lineRule="exact"/>
        <w:ind w:firstLine="640" w:firstLineChars="200"/>
        <w:rPr>
          <w:rFonts w:eastAsia="楷体_GB2312"/>
          <w:bCs/>
          <w:sz w:val="32"/>
          <w:szCs w:val="32"/>
        </w:rPr>
      </w:pPr>
      <w:r>
        <w:rPr>
          <w:rFonts w:hint="eastAsia" w:eastAsia="楷体_GB2312"/>
          <w:bCs/>
          <w:sz w:val="32"/>
          <w:szCs w:val="32"/>
        </w:rPr>
        <w:t>（四）履职绩效评价分析</w:t>
      </w:r>
    </w:p>
    <w:p w14:paraId="4CC301EF">
      <w:pPr>
        <w:spacing w:line="560" w:lineRule="exact"/>
        <w:ind w:firstLine="640" w:firstLineChars="200"/>
        <w:rPr>
          <w:rFonts w:eastAsia="仿宋_GB2312" w:cs="仿宋_GB2312"/>
          <w:sz w:val="32"/>
          <w:szCs w:val="32"/>
        </w:rPr>
      </w:pPr>
      <w:r>
        <w:rPr>
          <w:rFonts w:hint="eastAsia" w:eastAsia="仿宋_GB2312" w:cs="仿宋_GB2312"/>
          <w:sz w:val="32"/>
          <w:szCs w:val="32"/>
        </w:rPr>
        <w:t>该指标分值30分，评价得分30分。</w:t>
      </w:r>
    </w:p>
    <w:p w14:paraId="702E1885">
      <w:pPr>
        <w:spacing w:line="560" w:lineRule="exact"/>
        <w:ind w:firstLine="640" w:firstLineChars="200"/>
        <w:rPr>
          <w:rFonts w:eastAsia="仿宋_GB2312" w:cs="仿宋_GB2312"/>
          <w:sz w:val="32"/>
          <w:szCs w:val="32"/>
        </w:rPr>
      </w:pPr>
      <w:r>
        <w:rPr>
          <w:rFonts w:hint="eastAsia" w:eastAsia="仿宋_GB2312" w:cs="仿宋_GB2312"/>
          <w:sz w:val="32"/>
          <w:szCs w:val="32"/>
        </w:rPr>
        <w:t>在社会效益方面，受益学生人数不少于18341人，全力对接地方发展需求，服务成效显著提高；擦亮晓庄品牌，学校知名度明显提升，学校连续在校友会中国师范类大学一流专业（应用型）排名第一。</w:t>
      </w:r>
    </w:p>
    <w:p w14:paraId="336F9955">
      <w:pPr>
        <w:spacing w:line="560" w:lineRule="exact"/>
        <w:ind w:firstLine="640" w:firstLineChars="200"/>
        <w:rPr>
          <w:rFonts w:eastAsia="仿宋_GB2312" w:cs="仿宋_GB2312"/>
          <w:sz w:val="32"/>
          <w:szCs w:val="32"/>
        </w:rPr>
      </w:pPr>
      <w:r>
        <w:rPr>
          <w:rFonts w:hint="eastAsia" w:eastAsia="仿宋_GB2312" w:cs="仿宋_GB2312"/>
          <w:sz w:val="32"/>
          <w:szCs w:val="32"/>
        </w:rPr>
        <w:t>在生态效益方面，严格执行相关规定，保证实验室安全，实验废弃物处置合规；维修改造项目均采用节能环保建筑材料，倡导绿色健康环保理念。</w:t>
      </w:r>
    </w:p>
    <w:p w14:paraId="5B5A24D3">
      <w:pPr>
        <w:spacing w:line="560" w:lineRule="exact"/>
        <w:ind w:firstLine="640" w:firstLineChars="200"/>
        <w:rPr>
          <w:rFonts w:eastAsia="仿宋_GB2312" w:cs="仿宋_GB2312"/>
          <w:sz w:val="32"/>
          <w:szCs w:val="32"/>
        </w:rPr>
      </w:pPr>
      <w:r>
        <w:rPr>
          <w:rFonts w:hint="eastAsia" w:eastAsia="仿宋_GB2312" w:cs="仿宋_GB2312"/>
          <w:sz w:val="32"/>
          <w:szCs w:val="32"/>
        </w:rPr>
        <w:t>在可持续影响方面，通过本年度学校内涵建设发展，对学校办学条件和办学水平的提升显著。</w:t>
      </w:r>
    </w:p>
    <w:p w14:paraId="2C438F6A">
      <w:pPr>
        <w:spacing w:line="560" w:lineRule="exact"/>
        <w:ind w:firstLine="640" w:firstLineChars="200"/>
        <w:rPr>
          <w:rFonts w:eastAsia="楷体_GB2312"/>
          <w:bCs/>
          <w:sz w:val="32"/>
          <w:szCs w:val="32"/>
        </w:rPr>
      </w:pPr>
      <w:r>
        <w:rPr>
          <w:rFonts w:hint="eastAsia" w:eastAsia="楷体_GB2312"/>
          <w:bCs/>
          <w:sz w:val="32"/>
          <w:szCs w:val="32"/>
        </w:rPr>
        <w:t>（五）满意度指标评价分析</w:t>
      </w:r>
    </w:p>
    <w:p w14:paraId="36E1AA67">
      <w:pPr>
        <w:spacing w:line="560" w:lineRule="exact"/>
        <w:ind w:firstLine="640" w:firstLineChars="200"/>
        <w:rPr>
          <w:rFonts w:eastAsia="仿宋_GB2312" w:cs="仿宋_GB2312"/>
          <w:sz w:val="32"/>
          <w:szCs w:val="32"/>
        </w:rPr>
      </w:pPr>
      <w:r>
        <w:rPr>
          <w:rFonts w:hint="eastAsia" w:eastAsia="仿宋_GB2312" w:cs="仿宋_GB2312"/>
          <w:sz w:val="32"/>
          <w:szCs w:val="32"/>
        </w:rPr>
        <w:t>该指标分值5分，评价得分5分。通过随机电话沟通访问，学生及家长对学校的满意度均达到90%以上。</w:t>
      </w:r>
    </w:p>
    <w:p w14:paraId="0A53038B">
      <w:pPr>
        <w:spacing w:line="560" w:lineRule="exact"/>
        <w:ind w:firstLine="640" w:firstLineChars="200"/>
        <w:rPr>
          <w:rFonts w:eastAsia="楷体_GB2312"/>
          <w:bCs/>
          <w:sz w:val="32"/>
          <w:szCs w:val="32"/>
        </w:rPr>
      </w:pPr>
      <w:r>
        <w:rPr>
          <w:rFonts w:hint="eastAsia" w:eastAsia="楷体_GB2312"/>
          <w:bCs/>
          <w:sz w:val="32"/>
          <w:szCs w:val="32"/>
        </w:rPr>
        <w:t>（六）加减分项</w:t>
      </w:r>
    </w:p>
    <w:p w14:paraId="2DBBA1F8">
      <w:pPr>
        <w:spacing w:line="560" w:lineRule="exact"/>
        <w:ind w:firstLine="640" w:firstLineChars="200"/>
        <w:rPr>
          <w:rFonts w:eastAsia="仿宋_GB2312" w:cs="仿宋_GB2312"/>
          <w:sz w:val="32"/>
          <w:szCs w:val="32"/>
        </w:rPr>
      </w:pPr>
      <w:r>
        <w:rPr>
          <w:rFonts w:hint="eastAsia" w:eastAsia="仿宋_GB2312" w:cs="仿宋_GB2312"/>
          <w:sz w:val="32"/>
          <w:szCs w:val="32"/>
        </w:rPr>
        <w:t>加分项得1分，无减分项。学校2025年度南京市绩效考核学校位列第一等次，加1分。</w:t>
      </w:r>
    </w:p>
    <w:p w14:paraId="124182F5">
      <w:pPr>
        <w:spacing w:line="560" w:lineRule="exact"/>
        <w:ind w:firstLine="640" w:firstLineChars="200"/>
        <w:rPr>
          <w:rFonts w:eastAsia="黑体" w:cs="仿宋_GB2312"/>
          <w:sz w:val="32"/>
          <w:szCs w:val="32"/>
        </w:rPr>
      </w:pPr>
      <w:r>
        <w:rPr>
          <w:rFonts w:hint="eastAsia" w:eastAsia="黑体" w:cs="仿宋_GB2312"/>
          <w:sz w:val="32"/>
          <w:szCs w:val="32"/>
        </w:rPr>
        <w:t>四、存在问题及原因分析</w:t>
      </w:r>
      <w:bookmarkStart w:id="0" w:name="_Toc44969976"/>
    </w:p>
    <w:p w14:paraId="7649BF00">
      <w:pPr>
        <w:spacing w:line="560" w:lineRule="exact"/>
        <w:ind w:firstLine="640" w:firstLineChars="200"/>
        <w:rPr>
          <w:rFonts w:eastAsia="仿宋_GB2312" w:cs="仿宋_GB2312"/>
          <w:bCs/>
          <w:sz w:val="32"/>
          <w:szCs w:val="32"/>
        </w:rPr>
      </w:pPr>
      <w:r>
        <w:rPr>
          <w:rFonts w:hint="eastAsia" w:eastAsia="仿宋_GB2312" w:cs="仿宋_GB2312"/>
          <w:bCs/>
          <w:sz w:val="32"/>
          <w:szCs w:val="32"/>
        </w:rPr>
        <w:t>存在的主要问题为2025年度预算整体执行率未达100%，部分资金使用统筹效能不足等问题。究其原因，一是遵照财政统一工作安排，对部分财政资金项目在年中进行预算优化调整；二是部分项目前期立项论证、招标采购等筹备环节衔接不够顺畅；三是各二级单位经费推进落实力度不均衡；四是覆盖预算编制、项目实施、资金支付的全链条动态跟踪、调度管控机制有待健全。</w:t>
      </w:r>
    </w:p>
    <w:p w14:paraId="06316694">
      <w:pPr>
        <w:spacing w:line="560" w:lineRule="exact"/>
        <w:ind w:firstLine="640" w:firstLineChars="200"/>
        <w:rPr>
          <w:rFonts w:eastAsia="黑体" w:cs="仿宋_GB2312"/>
          <w:sz w:val="32"/>
          <w:szCs w:val="32"/>
        </w:rPr>
      </w:pPr>
      <w:r>
        <w:rPr>
          <w:rFonts w:hint="eastAsia" w:eastAsia="黑体" w:cs="仿宋_GB2312"/>
          <w:sz w:val="32"/>
          <w:szCs w:val="32"/>
        </w:rPr>
        <w:t>五、有关建议</w:t>
      </w:r>
    </w:p>
    <w:bookmarkEnd w:id="0"/>
    <w:p w14:paraId="3038EDBE">
      <w:pPr>
        <w:spacing w:line="560" w:lineRule="exact"/>
        <w:ind w:firstLine="640" w:firstLineChars="200"/>
        <w:rPr>
          <w:rFonts w:eastAsia="仿宋_GB2312" w:cs="仿宋_GB2312"/>
          <w:bCs/>
          <w:sz w:val="32"/>
          <w:szCs w:val="32"/>
        </w:rPr>
      </w:pPr>
      <w:r>
        <w:rPr>
          <w:rFonts w:hint="eastAsia" w:eastAsia="仿宋_GB2312" w:cs="仿宋_GB2312"/>
          <w:bCs/>
          <w:sz w:val="32"/>
          <w:szCs w:val="32"/>
        </w:rPr>
        <w:t>下一步将构建完善预算编制、项目实施、资金支付、绩效评价全流程闭环管理机制，逐级传导压实各二级单位预算执行主体责任，将执行成效纳入年度绩效考核；按资金和项目类型分类梳理所有在执行项目，逐项目制定阶段性实施清单，分解形成分月度可落地支出时序台账，明确采购、施工、验收、付款关键节点时限；建立常态化管控机制，定期汇总各单位执行数据形成专项通报，对执行滞后项目进行督办，协调各职能部门处置招标滞后、合同签审、验收拖延、报账不及时等堵点难点；同步建立统筹协调机制，统筹调剂闲置资金投向急需推进的重点办学项目，持续释放资金效能。</w:t>
      </w:r>
    </w:p>
    <w:p w14:paraId="130571C9">
      <w:pPr>
        <w:spacing w:line="560" w:lineRule="exact"/>
        <w:ind w:firstLine="640" w:firstLineChars="200"/>
        <w:rPr>
          <w:rFonts w:eastAsia="仿宋_GB2312" w:cs="仿宋_GB2312"/>
          <w:bCs/>
          <w:sz w:val="32"/>
          <w:szCs w:val="32"/>
        </w:rPr>
      </w:pPr>
      <w:r>
        <w:rPr>
          <w:rFonts w:hint="eastAsia" w:eastAsia="仿宋_GB2312" w:cs="仿宋_GB2312"/>
          <w:bCs/>
          <w:sz w:val="32"/>
          <w:szCs w:val="32"/>
        </w:rPr>
        <w:t>强化预算执行结果刚性应用，建立预算执行与下一年度经费分配挂钩联动机制，对年度预算执行率偏低、整改成效不佳的项目及对应责任单位，在次年预算申报审核中从严核减经费额度，倒逼各单位提前谋划项目实施、加快资金支出进度，稳步提升全年预算执行进度，切实最大化财政资金配置与使用综合效益。</w:t>
      </w:r>
    </w:p>
    <w:p w14:paraId="52EAE4BD">
      <w:pPr>
        <w:spacing w:line="560" w:lineRule="exact"/>
        <w:ind w:firstLine="640" w:firstLineChars="200"/>
        <w:rPr>
          <w:rFonts w:eastAsia="黑体" w:cs="仿宋_GB2312"/>
          <w:sz w:val="32"/>
          <w:szCs w:val="32"/>
        </w:rPr>
      </w:pPr>
      <w:r>
        <w:rPr>
          <w:rFonts w:hint="eastAsia" w:eastAsia="黑体" w:cs="仿宋_GB2312"/>
          <w:sz w:val="32"/>
          <w:szCs w:val="32"/>
        </w:rPr>
        <w:t>六、评价工作开展情况及其他需说明的情况</w:t>
      </w:r>
    </w:p>
    <w:p w14:paraId="185613C2">
      <w:pPr>
        <w:spacing w:line="560" w:lineRule="exact"/>
        <w:ind w:firstLine="640" w:firstLineChars="200"/>
        <w:rPr>
          <w:rFonts w:eastAsia="楷体_GB2312" w:cs="楷体_GB2312"/>
          <w:bCs/>
          <w:sz w:val="32"/>
          <w:szCs w:val="32"/>
        </w:rPr>
      </w:pPr>
      <w:r>
        <w:rPr>
          <w:rFonts w:hint="eastAsia" w:eastAsia="楷体_GB2312" w:cs="楷体_GB2312"/>
          <w:bCs/>
          <w:sz w:val="32"/>
          <w:szCs w:val="32"/>
        </w:rPr>
        <w:t>（一）绩效评价工作情况</w:t>
      </w:r>
    </w:p>
    <w:p w14:paraId="3940BEF0">
      <w:pPr>
        <w:spacing w:line="560" w:lineRule="exact"/>
        <w:ind w:firstLine="643" w:firstLineChars="200"/>
        <w:rPr>
          <w:rFonts w:eastAsia="仿宋_GB2312" w:cs="仿宋_GB2312"/>
          <w:b/>
          <w:sz w:val="32"/>
          <w:szCs w:val="32"/>
        </w:rPr>
      </w:pPr>
      <w:r>
        <w:rPr>
          <w:rFonts w:hint="eastAsia" w:eastAsia="仿宋_GB2312" w:cs="仿宋_GB2312"/>
          <w:b/>
          <w:sz w:val="32"/>
          <w:szCs w:val="32"/>
        </w:rPr>
        <w:t>1.评价思路及方法</w:t>
      </w:r>
    </w:p>
    <w:p w14:paraId="03E9BF47">
      <w:pPr>
        <w:spacing w:line="560" w:lineRule="exact"/>
        <w:ind w:firstLine="640" w:firstLineChars="200"/>
        <w:rPr>
          <w:rFonts w:eastAsia="仿宋_GB2312" w:cs="仿宋_GB2312"/>
          <w:bCs/>
          <w:sz w:val="32"/>
          <w:szCs w:val="32"/>
        </w:rPr>
      </w:pPr>
      <w:r>
        <w:rPr>
          <w:rFonts w:eastAsia="仿宋_GB2312" w:cs="仿宋_GB2312"/>
          <w:bCs/>
          <w:sz w:val="32"/>
          <w:szCs w:val="32"/>
        </w:rPr>
        <w:t>根据部门（单位）职责、行业发展规划、年度工作任务和绩效目标、前期调研等，统筹考虑资产和业务活动，从运行成本、管理效率、履职效能、社会效应、可持续发展能力和服务对象满意度等方面，对部门（单位）预算整体绩效进行分析。</w:t>
      </w:r>
      <w:r>
        <w:rPr>
          <w:rFonts w:hint="eastAsia" w:eastAsia="仿宋_GB2312" w:cs="仿宋_GB2312"/>
          <w:bCs/>
          <w:sz w:val="32"/>
          <w:szCs w:val="32"/>
        </w:rPr>
        <w:t>重点关注年度绩效目标、评价指标、支出标准、支出方向之间的相关性。根据分析结果，厘清评价思路，运用成本效益分析法、比较分析法、专家评议法、公众评价法、实地考察法、调研访谈法和调查问卷法等多种专业方法开展系统评价。</w:t>
      </w:r>
    </w:p>
    <w:p w14:paraId="395BC236">
      <w:pPr>
        <w:spacing w:line="560" w:lineRule="exact"/>
        <w:ind w:firstLine="643" w:firstLineChars="200"/>
        <w:rPr>
          <w:rFonts w:eastAsia="仿宋_GB2312" w:cs="仿宋_GB2312"/>
          <w:b/>
          <w:sz w:val="32"/>
          <w:szCs w:val="32"/>
        </w:rPr>
      </w:pPr>
      <w:r>
        <w:rPr>
          <w:rFonts w:hint="eastAsia" w:eastAsia="仿宋_GB2312" w:cs="仿宋_GB2312"/>
          <w:b/>
          <w:sz w:val="32"/>
          <w:szCs w:val="32"/>
        </w:rPr>
        <w:t>2.评价组织与分工</w:t>
      </w:r>
    </w:p>
    <w:p w14:paraId="10366D08">
      <w:pPr>
        <w:spacing w:line="560" w:lineRule="exact"/>
        <w:ind w:firstLine="640" w:firstLineChars="200"/>
        <w:rPr>
          <w:rFonts w:eastAsia="仿宋_GB2312" w:cs="仿宋_GB2312"/>
          <w:bCs/>
          <w:sz w:val="32"/>
          <w:szCs w:val="32"/>
        </w:rPr>
      </w:pPr>
      <w:r>
        <w:rPr>
          <w:rFonts w:hint="eastAsia" w:eastAsia="仿宋_GB2312" w:cs="仿宋_GB2312"/>
          <w:bCs/>
          <w:sz w:val="32"/>
          <w:szCs w:val="32"/>
        </w:rPr>
        <w:t>根据市财政局关于预算绩效管理工作的统一部署，成立评价工作小组，评价组长由分管财务校领导担任，为本次整体预算绩效评价工作第一责任人，全面统筹、牵头把控评价全过程工作；主评人由财务处处长担任，协助评价组长统筹推进日常评价工作，为本次绩效评价核心执行负责人，统筹把控评价业务质量；评价工作组成员包括财务处、审计处、教务处、研究生处、科研处、学工处、人资处、国资处、实验室管理处、后勤处、保卫处、信息化办等职能部门选派业务骨干，立足部门岗位职责，聚焦本部门预算执行、项目实施、履职成效、资金使用效益等内容，配合完成专项评价工作。</w:t>
      </w:r>
    </w:p>
    <w:p w14:paraId="13019677">
      <w:pPr>
        <w:spacing w:line="560" w:lineRule="exact"/>
        <w:ind w:firstLine="643" w:firstLineChars="200"/>
        <w:rPr>
          <w:rFonts w:eastAsia="仿宋_GB2312" w:cs="仿宋_GB2312"/>
          <w:b/>
          <w:sz w:val="32"/>
          <w:szCs w:val="32"/>
        </w:rPr>
      </w:pPr>
      <w:r>
        <w:rPr>
          <w:rFonts w:hint="eastAsia" w:eastAsia="仿宋_GB2312" w:cs="仿宋_GB2312"/>
          <w:b/>
          <w:sz w:val="32"/>
          <w:szCs w:val="32"/>
        </w:rPr>
        <w:t>3.评价过程</w:t>
      </w:r>
    </w:p>
    <w:p w14:paraId="3EF5FC71">
      <w:pPr>
        <w:spacing w:line="560" w:lineRule="exact"/>
        <w:ind w:firstLine="640" w:firstLineChars="200"/>
        <w:rPr>
          <w:rFonts w:eastAsia="仿宋_GB2312" w:cs="仿宋_GB2312"/>
          <w:bCs/>
          <w:sz w:val="32"/>
          <w:szCs w:val="32"/>
        </w:rPr>
      </w:pPr>
      <w:r>
        <w:rPr>
          <w:rFonts w:hint="eastAsia" w:eastAsia="仿宋_GB2312" w:cs="仿宋_GB2312"/>
          <w:bCs/>
          <w:sz w:val="32"/>
          <w:szCs w:val="32"/>
        </w:rPr>
        <w:t>根据市财政局关于预算绩效管理工作的统一部署，我校严格遵循规范程序，扎实有序地开展了2025年度整体预算绩效自评工作，具体实施过程如下：</w:t>
      </w:r>
    </w:p>
    <w:p w14:paraId="7DE25124">
      <w:pPr>
        <w:spacing w:line="560" w:lineRule="exact"/>
        <w:ind w:firstLine="640" w:firstLineChars="200"/>
        <w:rPr>
          <w:rFonts w:eastAsia="仿宋_GB2312" w:cs="仿宋_GB2312"/>
          <w:bCs/>
          <w:sz w:val="32"/>
          <w:szCs w:val="32"/>
        </w:rPr>
      </w:pPr>
      <w:r>
        <w:rPr>
          <w:rFonts w:hint="eastAsia" w:eastAsia="仿宋_GB2312" w:cs="仿宋_GB2312"/>
          <w:bCs/>
          <w:sz w:val="32"/>
          <w:szCs w:val="32"/>
        </w:rPr>
        <w:t>一是前期准备阶段（2026年5月上旬）</w:t>
      </w:r>
    </w:p>
    <w:p w14:paraId="6E4FC6F7">
      <w:pPr>
        <w:spacing w:line="560" w:lineRule="exact"/>
        <w:ind w:firstLine="640" w:firstLineChars="200"/>
        <w:rPr>
          <w:rFonts w:eastAsia="仿宋_GB2312" w:cs="仿宋_GB2312"/>
          <w:bCs/>
          <w:sz w:val="32"/>
          <w:szCs w:val="32"/>
        </w:rPr>
      </w:pPr>
      <w:r>
        <w:rPr>
          <w:rFonts w:hint="eastAsia" w:eastAsia="仿宋_GB2312" w:cs="仿宋_GB2312"/>
          <w:bCs/>
          <w:sz w:val="32"/>
          <w:szCs w:val="32"/>
        </w:rPr>
        <w:t>本阶段以全面调研为基础，通过实地走访、深度访谈等方式，深入了解校内各业务部门的职能履行、预算执行与项目实施成效，系统收集相关基础信息。结合调研成果，科学构建涵盖投入、过程、产出与效益等多维度的绩效评价指标体系，并据此制定具有可操作性的自评工作方案。</w:t>
      </w:r>
    </w:p>
    <w:p w14:paraId="0590D95C">
      <w:pPr>
        <w:spacing w:line="560" w:lineRule="exact"/>
        <w:ind w:firstLine="640" w:firstLineChars="200"/>
        <w:rPr>
          <w:rFonts w:eastAsia="仿宋_GB2312" w:cs="仿宋_GB2312"/>
          <w:bCs/>
          <w:sz w:val="32"/>
          <w:szCs w:val="32"/>
        </w:rPr>
      </w:pPr>
      <w:r>
        <w:rPr>
          <w:rFonts w:hint="eastAsia" w:eastAsia="仿宋_GB2312" w:cs="仿宋_GB2312"/>
          <w:bCs/>
          <w:sz w:val="32"/>
          <w:szCs w:val="32"/>
        </w:rPr>
        <w:t>二是组织实施阶段（2026年5月中旬）</w:t>
      </w:r>
    </w:p>
    <w:p w14:paraId="20EF59FE">
      <w:pPr>
        <w:spacing w:line="560" w:lineRule="exact"/>
        <w:ind w:firstLine="640" w:firstLineChars="200"/>
        <w:rPr>
          <w:rFonts w:eastAsia="仿宋_GB2312" w:cs="仿宋_GB2312"/>
          <w:bCs/>
          <w:sz w:val="32"/>
          <w:szCs w:val="32"/>
        </w:rPr>
      </w:pPr>
      <w:r>
        <w:rPr>
          <w:rFonts w:hint="eastAsia" w:eastAsia="仿宋_GB2312" w:cs="仿宋_GB2312"/>
          <w:bCs/>
          <w:sz w:val="32"/>
          <w:szCs w:val="32"/>
        </w:rPr>
        <w:t>按照工作方案统一安排，有序推进评价数据采集工作。具体包括：向相关部门发放绩效数据采集表，系统收集基础数据；综合运用座谈交流、电话访谈、财务对账与实地查验等方式，广泛获取业务资料与佐证材料；同步建立数据审核机制，对采集信息进行多轮校验，确保数据来源可靠、内容完整准确。</w:t>
      </w:r>
    </w:p>
    <w:p w14:paraId="195C2843">
      <w:pPr>
        <w:spacing w:line="560" w:lineRule="exact"/>
        <w:ind w:firstLine="640" w:firstLineChars="200"/>
        <w:rPr>
          <w:rFonts w:eastAsia="仿宋_GB2312" w:cs="仿宋_GB2312"/>
          <w:bCs/>
          <w:sz w:val="32"/>
          <w:szCs w:val="32"/>
        </w:rPr>
      </w:pPr>
      <w:r>
        <w:rPr>
          <w:rFonts w:hint="eastAsia" w:eastAsia="仿宋_GB2312" w:cs="仿宋_GB2312"/>
          <w:bCs/>
          <w:sz w:val="32"/>
          <w:szCs w:val="32"/>
        </w:rPr>
        <w:t>三是分析评价阶段（2026年6月中旬）</w:t>
      </w:r>
    </w:p>
    <w:p w14:paraId="7F8154A6">
      <w:pPr>
        <w:spacing w:line="560" w:lineRule="exact"/>
        <w:ind w:firstLine="640" w:firstLineChars="200"/>
        <w:rPr>
          <w:rFonts w:eastAsia="仿宋_GB2312" w:cs="仿宋_GB2312"/>
          <w:bCs/>
          <w:sz w:val="32"/>
          <w:szCs w:val="32"/>
        </w:rPr>
      </w:pPr>
      <w:r>
        <w:rPr>
          <w:rFonts w:hint="eastAsia" w:eastAsia="仿宋_GB2312" w:cs="仿宋_GB2312"/>
          <w:bCs/>
          <w:sz w:val="32"/>
          <w:szCs w:val="32"/>
        </w:rPr>
        <w:t>在整合各类数据资料的基础上，运用比较分析、专家评议、逻辑框架等多种专业方法开展系统评估。组织专家团队依据既定标准进行量化评分，并就初步结果与相关部门进行多轮沟通与反馈，不断夯实评价依据，最终形成内容全面、结论客观的预算绩效自评价报告。</w:t>
      </w:r>
    </w:p>
    <w:p w14:paraId="1F995AFE">
      <w:pPr>
        <w:spacing w:line="560" w:lineRule="exact"/>
        <w:ind w:firstLine="643" w:firstLineChars="200"/>
        <w:rPr>
          <w:rFonts w:eastAsia="仿宋_GB2312" w:cs="仿宋_GB2312"/>
          <w:b/>
          <w:sz w:val="32"/>
          <w:szCs w:val="32"/>
        </w:rPr>
      </w:pPr>
      <w:r>
        <w:rPr>
          <w:rFonts w:hint="eastAsia" w:eastAsia="仿宋_GB2312" w:cs="仿宋_GB2312"/>
          <w:b/>
          <w:sz w:val="32"/>
          <w:szCs w:val="32"/>
        </w:rPr>
        <w:t>4.评价指标体系</w:t>
      </w:r>
    </w:p>
    <w:p w14:paraId="59449152">
      <w:pPr>
        <w:widowControl/>
        <w:ind w:firstLine="640" w:firstLineChars="200"/>
        <w:jc w:val="left"/>
        <w:rPr>
          <w:rFonts w:eastAsia="仿宋_GB2312" w:cs="仿宋_GB2312"/>
          <w:bCs/>
          <w:sz w:val="32"/>
          <w:szCs w:val="32"/>
        </w:rPr>
      </w:pPr>
      <w:r>
        <w:rPr>
          <w:rFonts w:hint="eastAsia" w:eastAsia="仿宋_GB2312" w:cs="仿宋_GB2312"/>
          <w:bCs/>
          <w:sz w:val="32"/>
          <w:szCs w:val="32"/>
        </w:rPr>
        <w:t>根据学校2025年度重点工作任务及绩效目标，对各部门、二级学院及直属单位的预算绩效进行评价。以部门履职情况为核心内容，从“部门决策”“部门管理”“部门履职”“履职绩效”“可持续发展能力”及“加减分项”六个维度来设计指标、评价标准以及指标权重等，形成了绩效评价指标体系，综合衡量部门整体及核心业务实施效果。2025年南京晓庄学院部门整体绩效评价指标体系共设计6项一级指标、21项二级指标和58项三级指标。重点</w:t>
      </w:r>
      <w:r>
        <w:rPr>
          <w:rFonts w:hint="eastAsia" w:eastAsia="仿宋_GB2312" w:cs="仿宋_GB2312"/>
          <w:bCs/>
          <w:sz w:val="32"/>
          <w:szCs w:val="32"/>
          <w:lang w:eastAsia="zh-CN"/>
        </w:rPr>
        <w:t>放在</w:t>
      </w:r>
      <w:r>
        <w:rPr>
          <w:rFonts w:hint="eastAsia" w:eastAsia="仿宋_GB2312" w:cs="仿宋_GB2312"/>
          <w:bCs/>
          <w:sz w:val="32"/>
          <w:szCs w:val="32"/>
        </w:rPr>
        <w:t>“部门履职”“履职绩效”上，权重达60%。详见附件《2025年</w:t>
      </w:r>
      <w:r>
        <w:rPr>
          <w:rFonts w:hint="eastAsia" w:eastAsia="仿宋_GB2312" w:cs="宋体"/>
          <w:kern w:val="0"/>
          <w:sz w:val="32"/>
          <w:szCs w:val="32"/>
        </w:rPr>
        <w:t>南京晓庄学院</w:t>
      </w:r>
      <w:r>
        <w:rPr>
          <w:rFonts w:eastAsia="仿宋_GB2312" w:cs="仿宋_GB2312"/>
          <w:color w:val="000000"/>
          <w:kern w:val="0"/>
          <w:sz w:val="31"/>
          <w:szCs w:val="31"/>
          <w:lang w:bidi="ar"/>
        </w:rPr>
        <w:t>整体绩效评价评分表</w:t>
      </w:r>
      <w:r>
        <w:rPr>
          <w:rFonts w:hint="eastAsia" w:eastAsia="仿宋_GB2312" w:cs="仿宋_GB2312"/>
          <w:bCs/>
          <w:sz w:val="32"/>
          <w:szCs w:val="32"/>
        </w:rPr>
        <w:t>》。</w:t>
      </w:r>
    </w:p>
    <w:p w14:paraId="3687E8D5">
      <w:pPr>
        <w:spacing w:line="560" w:lineRule="exact"/>
        <w:ind w:firstLine="640" w:firstLineChars="200"/>
        <w:rPr>
          <w:rFonts w:eastAsia="楷体_GB2312" w:cs="楷体_GB2312"/>
          <w:bCs/>
          <w:sz w:val="32"/>
          <w:szCs w:val="32"/>
        </w:rPr>
      </w:pPr>
      <w:r>
        <w:rPr>
          <w:rFonts w:hint="eastAsia" w:eastAsia="楷体_GB2312" w:cs="楷体_GB2312"/>
          <w:bCs/>
          <w:sz w:val="32"/>
          <w:szCs w:val="32"/>
        </w:rPr>
        <w:t>（二）其他需说明情况</w:t>
      </w:r>
    </w:p>
    <w:p w14:paraId="16FBF864">
      <w:pPr>
        <w:spacing w:line="560" w:lineRule="exact"/>
        <w:ind w:firstLine="640" w:firstLineChars="200"/>
        <w:rPr>
          <w:rFonts w:eastAsia="仿宋_GB2312" w:cs="仿宋_GB2312"/>
          <w:bCs/>
          <w:sz w:val="32"/>
          <w:szCs w:val="32"/>
        </w:rPr>
      </w:pPr>
      <w:r>
        <w:rPr>
          <w:rFonts w:hint="eastAsia" w:eastAsia="仿宋_GB2312" w:cs="仿宋_GB2312"/>
          <w:bCs/>
          <w:sz w:val="32"/>
          <w:szCs w:val="32"/>
        </w:rPr>
        <w:t>无。</w:t>
      </w:r>
    </w:p>
    <w:p w14:paraId="5B74D2F8">
      <w:pPr>
        <w:spacing w:line="560" w:lineRule="exact"/>
        <w:ind w:firstLine="640" w:firstLineChars="200"/>
        <w:rPr>
          <w:rFonts w:eastAsia="仿宋_GB2312" w:cs="仿宋_GB2312"/>
          <w:bCs/>
          <w:sz w:val="32"/>
          <w:szCs w:val="32"/>
        </w:rPr>
      </w:pPr>
    </w:p>
    <w:p w14:paraId="2BCE483D">
      <w:pPr>
        <w:spacing w:line="560" w:lineRule="exact"/>
        <w:ind w:firstLine="640" w:firstLineChars="200"/>
        <w:rPr>
          <w:rFonts w:eastAsia="仿宋_GB2312" w:cs="仿宋_GB2312"/>
          <w:color w:val="000000"/>
          <w:kern w:val="0"/>
          <w:sz w:val="31"/>
          <w:szCs w:val="31"/>
          <w:lang w:bidi="ar"/>
        </w:rPr>
      </w:pPr>
      <w:r>
        <w:rPr>
          <w:rFonts w:hint="eastAsia" w:eastAsia="仿宋_GB2312" w:cs="宋体"/>
          <w:kern w:val="0"/>
          <w:sz w:val="32"/>
          <w:szCs w:val="32"/>
        </w:rPr>
        <w:t>附件：</w:t>
      </w:r>
      <w:r>
        <w:rPr>
          <w:rFonts w:hint="eastAsia" w:eastAsia="仿宋_GB2312" w:cs="仿宋_GB2312"/>
          <w:bCs/>
          <w:sz w:val="32"/>
          <w:szCs w:val="32"/>
        </w:rPr>
        <w:t>2025年</w:t>
      </w:r>
      <w:r>
        <w:rPr>
          <w:rFonts w:hint="eastAsia" w:eastAsia="仿宋_GB2312" w:cs="宋体"/>
          <w:kern w:val="0"/>
          <w:sz w:val="32"/>
          <w:szCs w:val="32"/>
        </w:rPr>
        <w:t>南京晓庄学院</w:t>
      </w:r>
      <w:r>
        <w:rPr>
          <w:rFonts w:eastAsia="仿宋_GB2312" w:cs="仿宋_GB2312"/>
          <w:color w:val="000000"/>
          <w:kern w:val="0"/>
          <w:sz w:val="31"/>
          <w:szCs w:val="31"/>
          <w:lang w:bidi="ar"/>
        </w:rPr>
        <w:t>整体绩效评价评分表</w:t>
      </w:r>
    </w:p>
    <w:p w14:paraId="23B62554">
      <w:pPr>
        <w:spacing w:line="560" w:lineRule="exact"/>
        <w:ind w:firstLine="620" w:firstLineChars="200"/>
        <w:rPr>
          <w:rFonts w:eastAsia="仿宋_GB2312" w:cs="仿宋_GB2312"/>
          <w:color w:val="000000"/>
          <w:kern w:val="0"/>
          <w:sz w:val="31"/>
          <w:szCs w:val="31"/>
          <w:lang w:bidi="ar"/>
        </w:rPr>
      </w:pPr>
    </w:p>
    <w:p w14:paraId="1DC2C0D7">
      <w:pPr>
        <w:wordWrap w:val="0"/>
        <w:spacing w:line="560" w:lineRule="exact"/>
        <w:ind w:firstLine="620" w:firstLineChars="200"/>
        <w:jc w:val="right"/>
        <w:rPr>
          <w:rFonts w:eastAsia="仿宋_GB2312" w:cs="仿宋_GB2312"/>
          <w:color w:val="000000"/>
          <w:kern w:val="0"/>
          <w:sz w:val="31"/>
          <w:szCs w:val="31"/>
          <w:lang w:bidi="ar"/>
        </w:rPr>
      </w:pPr>
      <w:r>
        <w:rPr>
          <w:rFonts w:hint="eastAsia" w:eastAsia="仿宋_GB2312" w:cs="仿宋_GB2312"/>
          <w:color w:val="000000"/>
          <w:kern w:val="0"/>
          <w:sz w:val="31"/>
          <w:szCs w:val="31"/>
          <w:lang w:bidi="ar"/>
        </w:rPr>
        <w:t xml:space="preserve">南京晓庄学院  </w:t>
      </w:r>
    </w:p>
    <w:p w14:paraId="536CA9DB">
      <w:pPr>
        <w:spacing w:line="560" w:lineRule="exact"/>
        <w:ind w:firstLine="620" w:firstLineChars="200"/>
        <w:jc w:val="right"/>
        <w:rPr>
          <w:rFonts w:eastAsia="仿宋_GB2312" w:cs="仿宋_GB2312"/>
          <w:color w:val="000000"/>
          <w:kern w:val="0"/>
          <w:sz w:val="31"/>
          <w:szCs w:val="31"/>
          <w:lang w:bidi="ar"/>
        </w:rPr>
      </w:pPr>
      <w:r>
        <w:rPr>
          <w:rFonts w:hint="eastAsia" w:eastAsia="仿宋_GB2312" w:cs="仿宋_GB2312"/>
          <w:color w:val="000000"/>
          <w:kern w:val="0"/>
          <w:sz w:val="31"/>
          <w:szCs w:val="31"/>
          <w:lang w:bidi="ar"/>
        </w:rPr>
        <w:t>2026年6月20日</w:t>
      </w:r>
    </w:p>
    <w:p w14:paraId="0ABD27C7">
      <w:pPr>
        <w:spacing w:line="560" w:lineRule="exact"/>
        <w:ind w:firstLine="640" w:firstLineChars="200"/>
        <w:jc w:val="right"/>
        <w:rPr>
          <w:rFonts w:eastAsia="仿宋_GB2312"/>
          <w:sz w:val="32"/>
          <w:szCs w:val="32"/>
        </w:rPr>
        <w:sectPr>
          <w:footerReference r:id="rId3" w:type="default"/>
          <w:pgSz w:w="11906" w:h="16838"/>
          <w:pgMar w:top="2098" w:right="1588" w:bottom="2098" w:left="1588" w:header="851" w:footer="992" w:gutter="0"/>
          <w:cols w:space="425" w:num="1"/>
          <w:docGrid w:type="lines" w:linePitch="312" w:charSpace="0"/>
        </w:sectPr>
      </w:pPr>
    </w:p>
    <w:p w14:paraId="15ABC261">
      <w:pPr>
        <w:rPr>
          <w:rFonts w:eastAsia="黑体" w:cs="黑体"/>
          <w:kern w:val="0"/>
          <w:sz w:val="32"/>
          <w:szCs w:val="32"/>
        </w:rPr>
      </w:pPr>
      <w:r>
        <w:rPr>
          <w:rFonts w:hint="eastAsia" w:eastAsia="黑体" w:cs="黑体"/>
          <w:kern w:val="0"/>
          <w:sz w:val="32"/>
          <w:szCs w:val="32"/>
        </w:rPr>
        <w:t>附件</w:t>
      </w:r>
    </w:p>
    <w:p w14:paraId="794CC8D8">
      <w:pPr>
        <w:spacing w:line="560" w:lineRule="exact"/>
        <w:jc w:val="center"/>
        <w:rPr>
          <w:rStyle w:val="18"/>
          <w:rFonts w:ascii="Times New Roman" w:hAnsi="Times New Roman" w:eastAsia="微软雅黑" w:cs="微软雅黑"/>
          <w:color w:val="auto"/>
          <w:lang w:bidi="ar"/>
        </w:rPr>
      </w:pPr>
      <w:r>
        <w:rPr>
          <w:rStyle w:val="18"/>
          <w:rFonts w:hint="eastAsia" w:ascii="Times New Roman" w:hAnsi="Times New Roman" w:eastAsia="微软雅黑" w:cs="微软雅黑"/>
          <w:color w:val="auto"/>
          <w:lang w:bidi="ar"/>
        </w:rPr>
        <w:t>2025年南京晓庄学院整体绩效评价评分表</w:t>
      </w:r>
    </w:p>
    <w:p w14:paraId="11C1FCDC">
      <w:pPr>
        <w:spacing w:line="560" w:lineRule="exact"/>
        <w:jc w:val="center"/>
        <w:rPr>
          <w:rStyle w:val="18"/>
          <w:rFonts w:ascii="Times New Roman" w:hAnsi="Times New Roman" w:eastAsia="微软雅黑" w:cs="微软雅黑"/>
          <w:color w:val="auto"/>
          <w:lang w:bidi="ar"/>
        </w:rPr>
      </w:pPr>
    </w:p>
    <w:tbl>
      <w:tblPr>
        <w:tblStyle w:val="6"/>
        <w:tblW w:w="16010" w:type="dxa"/>
        <w:tblInd w:w="-341" w:type="dxa"/>
        <w:tblLayout w:type="fixed"/>
        <w:tblCellMar>
          <w:top w:w="0" w:type="dxa"/>
          <w:left w:w="108" w:type="dxa"/>
          <w:bottom w:w="0" w:type="dxa"/>
          <w:right w:w="108" w:type="dxa"/>
        </w:tblCellMar>
      </w:tblPr>
      <w:tblGrid>
        <w:gridCol w:w="1000"/>
        <w:gridCol w:w="950"/>
        <w:gridCol w:w="1127"/>
        <w:gridCol w:w="2287"/>
        <w:gridCol w:w="2776"/>
        <w:gridCol w:w="1100"/>
        <w:gridCol w:w="1340"/>
        <w:gridCol w:w="800"/>
        <w:gridCol w:w="850"/>
        <w:gridCol w:w="2629"/>
        <w:gridCol w:w="1151"/>
      </w:tblGrid>
      <w:tr w14:paraId="4E80F5F1">
        <w:tblPrEx>
          <w:tblCellMar>
            <w:top w:w="0" w:type="dxa"/>
            <w:left w:w="108" w:type="dxa"/>
            <w:bottom w:w="0" w:type="dxa"/>
            <w:right w:w="108" w:type="dxa"/>
          </w:tblCellMar>
        </w:tblPrEx>
        <w:trPr>
          <w:trHeight w:val="400" w:hRule="atLeast"/>
          <w:tblHeader/>
        </w:trPr>
        <w:tc>
          <w:tcPr>
            <w:tcW w:w="1000" w:type="dxa"/>
            <w:tcBorders>
              <w:top w:val="single" w:color="000000" w:sz="4" w:space="0"/>
              <w:left w:val="single" w:color="000000" w:sz="4" w:space="0"/>
              <w:bottom w:val="nil"/>
              <w:right w:val="single" w:color="000000" w:sz="4" w:space="0"/>
            </w:tcBorders>
            <w:shd w:val="clear" w:color="auto" w:fill="auto"/>
            <w:vAlign w:val="center"/>
          </w:tcPr>
          <w:p w14:paraId="5A0E3719">
            <w:pPr>
              <w:widowControl/>
              <w:jc w:val="center"/>
              <w:textAlignment w:val="center"/>
              <w:rPr>
                <w:rFonts w:ascii="宋体" w:hAnsi="宋体" w:cs="宋体"/>
                <w:b/>
                <w:bCs/>
                <w:color w:val="000000"/>
                <w:sz w:val="18"/>
                <w:szCs w:val="18"/>
              </w:rPr>
            </w:pPr>
            <w:bookmarkStart w:id="1" w:name="_Hlk242137465"/>
            <w:r>
              <w:rPr>
                <w:rFonts w:hint="eastAsia" w:ascii="宋体" w:hAnsi="宋体" w:cs="宋体"/>
                <w:b/>
                <w:bCs/>
                <w:color w:val="000000"/>
                <w:kern w:val="0"/>
                <w:sz w:val="18"/>
                <w:szCs w:val="18"/>
                <w:lang w:bidi="ar"/>
              </w:rPr>
              <w:t>一级指标</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6E64963E">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二级指标</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4B266">
            <w:pPr>
              <w:widowControl/>
              <w:jc w:val="center"/>
              <w:textAlignment w:val="center"/>
              <w:rPr>
                <w:rFonts w:ascii="宋体" w:hAnsi="宋体" w:cs="宋体"/>
                <w:color w:val="000000"/>
                <w:sz w:val="18"/>
                <w:szCs w:val="18"/>
              </w:rPr>
            </w:pPr>
            <w:r>
              <w:rPr>
                <w:rFonts w:hint="eastAsia" w:ascii="宋体" w:hAnsi="宋体" w:cs="宋体"/>
                <w:b/>
                <w:bCs/>
                <w:color w:val="000000"/>
                <w:kern w:val="0"/>
                <w:sz w:val="18"/>
                <w:szCs w:val="18"/>
                <w:lang w:bidi="ar"/>
              </w:rPr>
              <w:t>三级指标</w:t>
            </w:r>
          </w:p>
        </w:tc>
        <w:tc>
          <w:tcPr>
            <w:tcW w:w="2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BFDC">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指标说明</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155D">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标准值</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584B4">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完成值</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A0DE">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权值</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3653">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得分</w:t>
            </w:r>
          </w:p>
        </w:tc>
        <w:tc>
          <w:tcPr>
            <w:tcW w:w="2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C12F">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评分办法</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29842">
            <w:pPr>
              <w:widowControl/>
              <w:jc w:val="center"/>
              <w:textAlignment w:val="center"/>
              <w:rPr>
                <w:rFonts w:hint="default" w:ascii="宋体" w:hAnsi="宋体" w:eastAsia="宋体" w:cs="宋体"/>
                <w:b/>
                <w:bCs/>
                <w:color w:val="000000"/>
                <w:kern w:val="0"/>
                <w:sz w:val="18"/>
                <w:szCs w:val="18"/>
                <w:lang w:val="en-US" w:eastAsia="zh-CN" w:bidi="ar"/>
              </w:rPr>
            </w:pPr>
            <w:r>
              <w:rPr>
                <w:rFonts w:hint="eastAsia" w:ascii="宋体" w:hAnsi="宋体" w:cs="宋体"/>
                <w:b/>
                <w:bCs/>
                <w:color w:val="000000"/>
                <w:kern w:val="0"/>
                <w:sz w:val="18"/>
                <w:szCs w:val="18"/>
                <w:lang w:val="en-US" w:eastAsia="zh-CN" w:bidi="ar"/>
              </w:rPr>
              <w:t>评分说明（</w:t>
            </w:r>
          </w:p>
          <w:p w14:paraId="2AC7CFF0">
            <w:pPr>
              <w:widowControl/>
              <w:jc w:val="center"/>
              <w:textAlignment w:val="center"/>
              <w:rPr>
                <w:rFonts w:hint="eastAsia" w:ascii="宋体" w:hAnsi="宋体" w:eastAsia="宋体" w:cs="宋体"/>
                <w:b/>
                <w:bCs/>
                <w:color w:val="000000"/>
                <w:sz w:val="18"/>
                <w:szCs w:val="18"/>
                <w:lang w:eastAsia="zh-CN"/>
              </w:rPr>
            </w:pPr>
            <w:r>
              <w:rPr>
                <w:rFonts w:hint="eastAsia" w:ascii="宋体" w:hAnsi="宋体" w:cs="宋体"/>
                <w:b/>
                <w:bCs/>
                <w:color w:val="000000"/>
                <w:kern w:val="0"/>
                <w:sz w:val="18"/>
                <w:szCs w:val="18"/>
                <w:lang w:bidi="ar"/>
              </w:rPr>
              <w:t>未完成指标原因分析</w:t>
            </w:r>
            <w:r>
              <w:rPr>
                <w:rFonts w:hint="eastAsia" w:ascii="宋体" w:hAnsi="宋体" w:cs="宋体"/>
                <w:b/>
                <w:bCs/>
                <w:color w:val="000000"/>
                <w:kern w:val="0"/>
                <w:sz w:val="18"/>
                <w:szCs w:val="18"/>
                <w:lang w:eastAsia="zh-CN" w:bidi="ar"/>
              </w:rPr>
              <w:t>）</w:t>
            </w:r>
          </w:p>
        </w:tc>
      </w:tr>
      <w:tr w14:paraId="4151FA33">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7F60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决策</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（15分）</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65A0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计划制定</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8EFE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中长期规划制定健全性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223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是否制定健全的中长期规划</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AC1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C95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3BF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3EE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6C79">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健全得2分，酌情减分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27E9">
            <w:pPr>
              <w:rPr>
                <w:rFonts w:ascii="宋体" w:hAnsi="宋体" w:cs="宋体"/>
                <w:color w:val="000000"/>
                <w:sz w:val="18"/>
                <w:szCs w:val="18"/>
              </w:rPr>
            </w:pPr>
          </w:p>
        </w:tc>
      </w:tr>
      <w:tr w14:paraId="0D8E5995">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8473B">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4799">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496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工作计划制定健全性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102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是否制定健全的工作计划</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E6A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CAD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5D5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E9B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B96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健全得3分，酌情减分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56D1">
            <w:pPr>
              <w:rPr>
                <w:rFonts w:ascii="宋体" w:hAnsi="宋体" w:cs="宋体"/>
                <w:color w:val="000000"/>
                <w:sz w:val="18"/>
                <w:szCs w:val="18"/>
              </w:rPr>
            </w:pPr>
          </w:p>
        </w:tc>
      </w:tr>
      <w:tr w14:paraId="6603DC81">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F71D0">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DF3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目标设定</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EC0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绩效目标合理性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CC0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设置绩效目标是否合理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5BB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合理</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5A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合理</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D8F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14A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89EF">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合理得</w:t>
            </w: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4BB3">
            <w:pPr>
              <w:rPr>
                <w:rFonts w:ascii="宋体" w:hAnsi="宋体" w:cs="宋体"/>
                <w:color w:val="000000"/>
                <w:sz w:val="18"/>
                <w:szCs w:val="18"/>
              </w:rPr>
            </w:pPr>
          </w:p>
        </w:tc>
      </w:tr>
      <w:tr w14:paraId="60BE2665">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F2FD5">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AD897">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40D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绩效指标明确性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BA4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设置绩效指标是否明确</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4C5B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明确</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914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明确</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8F6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66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929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明确得3分，酌情减分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47CA2">
            <w:pPr>
              <w:rPr>
                <w:rFonts w:ascii="宋体" w:hAnsi="宋体" w:cs="宋体"/>
                <w:color w:val="000000"/>
                <w:sz w:val="18"/>
                <w:szCs w:val="18"/>
              </w:rPr>
            </w:pPr>
          </w:p>
        </w:tc>
      </w:tr>
      <w:tr w14:paraId="369ED5FD">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3DED5">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18920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预算编制</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7121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预算编制科学性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371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预算编制是否科学</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C69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科学</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78D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科学</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70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7D8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3786">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科学得</w:t>
            </w:r>
            <w:r>
              <w:rPr>
                <w:rFonts w:hint="eastAsia" w:ascii="宋体" w:hAnsi="宋体" w:cs="宋体"/>
                <w:color w:val="000000"/>
                <w:kern w:val="0"/>
                <w:sz w:val="18"/>
                <w:szCs w:val="18"/>
                <w:lang w:val="en-US" w:eastAsia="zh-CN" w:bidi="ar"/>
              </w:rPr>
              <w:t>2</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F237">
            <w:pPr>
              <w:rPr>
                <w:rFonts w:ascii="宋体" w:hAnsi="宋体" w:cs="宋体"/>
                <w:color w:val="000000"/>
                <w:sz w:val="18"/>
                <w:szCs w:val="18"/>
              </w:rPr>
            </w:pPr>
          </w:p>
        </w:tc>
      </w:tr>
      <w:tr w14:paraId="7157FA6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4129F">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B0AB9">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70E1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预算编制规范性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224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预算编制是否规范</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F84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7B2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CD6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9A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w:t>
            </w:r>
          </w:p>
        </w:tc>
        <w:tc>
          <w:tcPr>
            <w:tcW w:w="2629" w:type="dxa"/>
            <w:tcBorders>
              <w:top w:val="single" w:color="000000" w:sz="4" w:space="0"/>
              <w:left w:val="single" w:color="000000" w:sz="4" w:space="0"/>
              <w:bottom w:val="nil"/>
              <w:right w:val="single" w:color="000000" w:sz="4" w:space="0"/>
            </w:tcBorders>
            <w:shd w:val="clear" w:color="auto" w:fill="auto"/>
            <w:vAlign w:val="center"/>
          </w:tcPr>
          <w:p w14:paraId="125854D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规范得3分，酌情减分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8130">
            <w:pPr>
              <w:rPr>
                <w:rFonts w:ascii="宋体" w:hAnsi="宋体" w:cs="宋体"/>
                <w:color w:val="000000"/>
                <w:sz w:val="18"/>
                <w:szCs w:val="18"/>
              </w:rPr>
            </w:pPr>
          </w:p>
        </w:tc>
      </w:tr>
      <w:tr w14:paraId="7DB99963">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E5E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过程</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（20分）</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F712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预算执行</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50E0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预算调整率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18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预算调整情况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F621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0C8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9B9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FC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3265">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F1873">
            <w:pPr>
              <w:rPr>
                <w:rFonts w:ascii="宋体" w:hAnsi="宋体" w:cs="宋体"/>
                <w:color w:val="000000"/>
                <w:sz w:val="18"/>
                <w:szCs w:val="18"/>
              </w:rPr>
            </w:pPr>
          </w:p>
        </w:tc>
      </w:tr>
      <w:tr w14:paraId="17D662E6">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7236">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05635">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8323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支付进度符合率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C86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预算支付进度符合情况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7E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286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40F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5BB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EA4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7B5D">
            <w:pPr>
              <w:rPr>
                <w:rFonts w:ascii="宋体" w:hAnsi="宋体" w:cs="宋体"/>
                <w:color w:val="000000"/>
                <w:sz w:val="18"/>
                <w:szCs w:val="18"/>
              </w:rPr>
            </w:pPr>
          </w:p>
        </w:tc>
      </w:tr>
      <w:tr w14:paraId="67BE24DF">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C94E">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6E36">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7BBE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预算执行率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305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预算执行情况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564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2313">
            <w:pPr>
              <w:widowControl/>
              <w:jc w:val="center"/>
              <w:textAlignment w:val="center"/>
              <w:rPr>
                <w:color w:val="000000"/>
                <w:sz w:val="18"/>
                <w:szCs w:val="18"/>
              </w:rPr>
            </w:pPr>
            <w:r>
              <w:rPr>
                <w:color w:val="000000"/>
                <w:kern w:val="0"/>
                <w:sz w:val="18"/>
                <w:szCs w:val="18"/>
                <w:lang w:bidi="ar"/>
              </w:rPr>
              <w:t>97.79%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8ED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4FD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0.97</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58AC">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A477">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部分项目按照财政要求，在年中进行预算优化调整</w:t>
            </w:r>
          </w:p>
        </w:tc>
      </w:tr>
      <w:tr w14:paraId="567BF81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96F55">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CE13">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E593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结转结余率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44B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预算结转结余情况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F1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B6C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03D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623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E0E1">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C5BE">
            <w:pPr>
              <w:rPr>
                <w:rFonts w:ascii="宋体" w:hAnsi="宋体" w:cs="宋体"/>
                <w:color w:val="000000"/>
                <w:sz w:val="18"/>
                <w:szCs w:val="18"/>
              </w:rPr>
            </w:pPr>
          </w:p>
        </w:tc>
      </w:tr>
      <w:tr w14:paraId="099AF5F7">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9841D">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E2CBE">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7578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公用经费控制率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B6F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公用经费控制情况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9CB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C57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32E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94C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5DBF">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指标值不高于100%得1分，未达到根据完成度得分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A339E">
            <w:pPr>
              <w:rPr>
                <w:rFonts w:ascii="宋体" w:hAnsi="宋体" w:cs="宋体"/>
                <w:color w:val="000000"/>
                <w:sz w:val="18"/>
                <w:szCs w:val="18"/>
              </w:rPr>
            </w:pPr>
          </w:p>
        </w:tc>
      </w:tr>
      <w:tr w14:paraId="600CAE72">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AB5B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ABF32">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5A91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“三公”经费变动率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E5F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“三公”经费变动情况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41C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CA2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505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5A4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B66D">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指标值不高于0%得1分，未达到根据完成度得分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62DD">
            <w:pPr>
              <w:rPr>
                <w:rFonts w:ascii="宋体" w:hAnsi="宋体" w:cs="宋体"/>
                <w:color w:val="000000"/>
                <w:sz w:val="18"/>
                <w:szCs w:val="18"/>
              </w:rPr>
            </w:pPr>
          </w:p>
        </w:tc>
      </w:tr>
      <w:tr w14:paraId="3705148B">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D367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0228B">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9ECC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政府采购执行率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CC8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政府采购执行情况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6A1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16E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686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961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374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ACF72">
            <w:pPr>
              <w:rPr>
                <w:rFonts w:ascii="宋体" w:hAnsi="宋体" w:cs="宋体"/>
                <w:color w:val="000000"/>
                <w:sz w:val="18"/>
                <w:szCs w:val="18"/>
              </w:rPr>
            </w:pPr>
          </w:p>
        </w:tc>
      </w:tr>
      <w:tr w14:paraId="576EA8AF">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1E0F3">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FBCEB">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F59C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非税收入预算完成率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783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非税收入预算完成情况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934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D45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6EC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24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7B6B">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100%</w:t>
            </w:r>
            <w:r>
              <w:rPr>
                <w:rFonts w:hint="eastAsia" w:ascii="宋体" w:hAnsi="宋体" w:cs="宋体"/>
                <w:color w:val="000000"/>
                <w:kern w:val="0"/>
                <w:sz w:val="18"/>
                <w:szCs w:val="18"/>
                <w:lang w:bidi="ar"/>
              </w:rPr>
              <w:t>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6A60">
            <w:pPr>
              <w:rPr>
                <w:rFonts w:ascii="宋体" w:hAnsi="宋体" w:cs="宋体"/>
                <w:color w:val="000000"/>
                <w:sz w:val="18"/>
                <w:szCs w:val="18"/>
              </w:rPr>
            </w:pPr>
          </w:p>
        </w:tc>
      </w:tr>
      <w:tr w14:paraId="63A0FF71">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A2A2C">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0C9B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预算管理</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6D19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预算管理制度健全性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4CC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预算管理制度是否健全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D1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7E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546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E3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CE1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8166">
            <w:pPr>
              <w:rPr>
                <w:rFonts w:ascii="宋体" w:hAnsi="宋体" w:cs="宋体"/>
                <w:color w:val="000000"/>
                <w:sz w:val="18"/>
                <w:szCs w:val="18"/>
              </w:rPr>
            </w:pPr>
          </w:p>
        </w:tc>
      </w:tr>
      <w:tr w14:paraId="46C8169F">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486A4">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E0D55">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241D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资金使用合规性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54F7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预算使用是否合规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769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合规</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94A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合规</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C8A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88A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74A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合规得1分，酌情减分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88BA">
            <w:pPr>
              <w:rPr>
                <w:rFonts w:ascii="宋体" w:hAnsi="宋体" w:cs="宋体"/>
                <w:color w:val="000000"/>
                <w:sz w:val="18"/>
                <w:szCs w:val="18"/>
              </w:rPr>
            </w:pPr>
          </w:p>
        </w:tc>
      </w:tr>
      <w:tr w14:paraId="6FC9291A">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9D71">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CBD10">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DCD7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绩效管理覆盖率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AF4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绩效管理是否覆盖情况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5C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856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CCD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076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F10F">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EAE14">
            <w:pPr>
              <w:rPr>
                <w:rFonts w:ascii="宋体" w:hAnsi="宋体" w:cs="宋体"/>
                <w:color w:val="000000"/>
                <w:sz w:val="18"/>
                <w:szCs w:val="18"/>
              </w:rPr>
            </w:pPr>
          </w:p>
        </w:tc>
      </w:tr>
      <w:tr w14:paraId="065D1499">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AC3C2">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49FF3">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9092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基础信息完善性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781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基础信息是否完善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747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完善</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44A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完善</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E72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A24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5E6C">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完善得0.5分，酌情减分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21BC">
            <w:pPr>
              <w:rPr>
                <w:rFonts w:ascii="宋体" w:hAnsi="宋体" w:cs="宋体"/>
                <w:color w:val="000000"/>
                <w:sz w:val="18"/>
                <w:szCs w:val="18"/>
              </w:rPr>
            </w:pPr>
          </w:p>
        </w:tc>
      </w:tr>
      <w:tr w14:paraId="3536A212">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BE941">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03AE0">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FA28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预决算信息公开度</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F84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预决算信息是否按照要求公开</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759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公开</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AAA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公开</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9F8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2C1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9351">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公开得1分，酌情减分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7007">
            <w:pPr>
              <w:rPr>
                <w:rFonts w:ascii="宋体" w:hAnsi="宋体" w:cs="宋体"/>
                <w:color w:val="000000"/>
                <w:sz w:val="18"/>
                <w:szCs w:val="18"/>
              </w:rPr>
            </w:pPr>
          </w:p>
        </w:tc>
      </w:tr>
      <w:tr w14:paraId="11376AA9">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6B1A">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D80C3">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19B2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非税收入管理合规性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C04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非税收入管理是否合规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EB2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合规</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6FE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合规</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218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F07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D67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合规得1分，酌情减分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F616">
            <w:pPr>
              <w:rPr>
                <w:rFonts w:ascii="宋体" w:hAnsi="宋体" w:cs="宋体"/>
                <w:color w:val="000000"/>
                <w:sz w:val="18"/>
                <w:szCs w:val="18"/>
              </w:rPr>
            </w:pPr>
          </w:p>
        </w:tc>
      </w:tr>
      <w:tr w14:paraId="4857A59C">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7F82">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F54D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资产管理</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6F2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资产管理制度健全性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6F69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资产管理制度是否健全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9CA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C4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C2B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C95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CBF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健全得1分，酌情减分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EBA23">
            <w:pPr>
              <w:rPr>
                <w:rFonts w:ascii="宋体" w:hAnsi="宋体" w:cs="宋体"/>
                <w:color w:val="000000"/>
                <w:sz w:val="18"/>
                <w:szCs w:val="18"/>
              </w:rPr>
            </w:pPr>
          </w:p>
        </w:tc>
      </w:tr>
      <w:tr w14:paraId="4AE206C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923CB">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EFF94">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FD2F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资产管理规范性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286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资产管理是否规范</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A26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59B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088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47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BA7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规范得1分，酌情减分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96FB">
            <w:pPr>
              <w:rPr>
                <w:rFonts w:ascii="宋体" w:hAnsi="宋体" w:cs="宋体"/>
                <w:color w:val="000000"/>
                <w:sz w:val="18"/>
                <w:szCs w:val="18"/>
              </w:rPr>
            </w:pPr>
          </w:p>
        </w:tc>
      </w:tr>
      <w:tr w14:paraId="713FCA9D">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AFA33">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64AB">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BF4C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固定资产利用率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252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固定资产利用情况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044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245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9EE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FAF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149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指标值为100%得1分，未达到根据完成度得分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D129">
            <w:pPr>
              <w:rPr>
                <w:rFonts w:ascii="宋体" w:hAnsi="宋体" w:cs="宋体"/>
                <w:color w:val="000000"/>
                <w:sz w:val="18"/>
                <w:szCs w:val="18"/>
              </w:rPr>
            </w:pPr>
          </w:p>
        </w:tc>
      </w:tr>
      <w:tr w14:paraId="1E3ED3B3">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CD622">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F9BD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项目管理</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93CA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项目管理制度健全性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8E1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项目管理制度是否健全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BD6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095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F7D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E32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C515">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39604">
            <w:pPr>
              <w:rPr>
                <w:rFonts w:ascii="宋体" w:hAnsi="宋体" w:cs="宋体"/>
                <w:color w:val="000000"/>
                <w:sz w:val="18"/>
                <w:szCs w:val="18"/>
              </w:rPr>
            </w:pPr>
          </w:p>
        </w:tc>
      </w:tr>
      <w:tr w14:paraId="49A0B142">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C2F00">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3FCF2">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BCA1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项目管理制度执行规范性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EAE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项目管理制度执行是否规范</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032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ABF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规范</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FB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C04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BA51">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规范得0.5分，酌情减分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B42C">
            <w:pPr>
              <w:rPr>
                <w:rFonts w:ascii="宋体" w:hAnsi="宋体" w:cs="宋体"/>
                <w:color w:val="000000"/>
                <w:sz w:val="18"/>
                <w:szCs w:val="18"/>
              </w:rPr>
            </w:pPr>
          </w:p>
        </w:tc>
      </w:tr>
      <w:tr w14:paraId="217B53C0">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1070">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C675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人员管理</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629F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人员管理制度健全性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822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人员管理制度是否健全</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420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C5E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健全</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2EE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276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0E3C">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健全得0.5分，酌情减分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F009">
            <w:pPr>
              <w:rPr>
                <w:rFonts w:ascii="宋体" w:hAnsi="宋体" w:cs="宋体"/>
                <w:color w:val="000000"/>
                <w:sz w:val="18"/>
                <w:szCs w:val="18"/>
              </w:rPr>
            </w:pPr>
          </w:p>
        </w:tc>
      </w:tr>
      <w:tr w14:paraId="7FD62C4C">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B55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23E45">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BD19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人员管理制度执行有效性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05E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人员管理制度执行是否有效</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B21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有效</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965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有效</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797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B48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7BC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有效得0.5分，酌情减分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A91B">
            <w:pPr>
              <w:rPr>
                <w:rFonts w:ascii="宋体" w:hAnsi="宋体" w:cs="宋体"/>
                <w:color w:val="000000"/>
                <w:sz w:val="18"/>
                <w:szCs w:val="18"/>
              </w:rPr>
            </w:pPr>
          </w:p>
        </w:tc>
      </w:tr>
      <w:tr w14:paraId="47B54DD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E685A">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63190">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85E9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在职人员控制率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BBA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在职人员控制情况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6FC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0B4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382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DA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F20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指标值为100%得0.5分，未达到根据完成度得分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0E16F">
            <w:pPr>
              <w:rPr>
                <w:rFonts w:ascii="宋体" w:hAnsi="宋体" w:cs="宋体"/>
                <w:color w:val="000000"/>
                <w:sz w:val="18"/>
                <w:szCs w:val="18"/>
              </w:rPr>
            </w:pPr>
          </w:p>
        </w:tc>
      </w:tr>
      <w:tr w14:paraId="11810025">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82E3D">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29A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机构建设</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44A16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组织建设工作及时完成率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11D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组织建设工作及时完成情况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DB2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C7D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AC8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383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78C5">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指标值为100%得0.5分，未达到根据完成度得分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D3AA">
            <w:pPr>
              <w:rPr>
                <w:rFonts w:ascii="宋体" w:hAnsi="宋体" w:cs="宋体"/>
                <w:color w:val="000000"/>
                <w:sz w:val="18"/>
                <w:szCs w:val="18"/>
              </w:rPr>
            </w:pPr>
          </w:p>
        </w:tc>
      </w:tr>
      <w:tr w14:paraId="167CD805">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47B0">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DFEA">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A3D79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业务学习与培训及时完成率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B5E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业务学习与培训及时完成情况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A7B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5C9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EF4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E3A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A48F">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指标值为100%得0.5分，未达到根据完成度得分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9090B">
            <w:pPr>
              <w:rPr>
                <w:rFonts w:ascii="宋体" w:hAnsi="宋体" w:cs="宋体"/>
                <w:color w:val="000000"/>
                <w:sz w:val="18"/>
                <w:szCs w:val="18"/>
              </w:rPr>
            </w:pPr>
          </w:p>
        </w:tc>
      </w:tr>
      <w:tr w14:paraId="14B88953">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7F662">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3DAC7">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CE19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纪检监察工作有效性</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CA2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纪检监察工作是否有效</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F66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有效</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F57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有效</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59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6F8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23A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有效得0.5分，酌情减分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96AF">
            <w:pPr>
              <w:rPr>
                <w:rFonts w:ascii="宋体" w:hAnsi="宋体" w:cs="宋体"/>
                <w:color w:val="000000"/>
                <w:sz w:val="18"/>
                <w:szCs w:val="18"/>
              </w:rPr>
            </w:pPr>
          </w:p>
        </w:tc>
      </w:tr>
      <w:tr w14:paraId="05CBF0E4">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43B9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履职</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（30分）</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E3A3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人才培养</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C123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深化人才培养改革，提升办学品质</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B7B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支撑国家、省级一流课程建设数量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213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评价支撑国家级、省级一流课程数量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6CD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≥27门</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EFFC">
            <w:pPr>
              <w:widowControl/>
              <w:jc w:val="center"/>
              <w:textAlignment w:val="center"/>
              <w:rPr>
                <w:color w:val="000000"/>
                <w:sz w:val="18"/>
                <w:szCs w:val="18"/>
              </w:rPr>
            </w:pPr>
            <w:r>
              <w:rPr>
                <w:color w:val="000000"/>
                <w:kern w:val="0"/>
                <w:sz w:val="18"/>
                <w:szCs w:val="18"/>
                <w:lang w:bidi="ar"/>
              </w:rPr>
              <w:t>32</w:t>
            </w:r>
            <w:r>
              <w:rPr>
                <w:rFonts w:hint="eastAsia" w:ascii="宋体" w:hAnsi="宋体" w:cs="宋体"/>
                <w:color w:val="000000"/>
                <w:kern w:val="0"/>
                <w:sz w:val="18"/>
                <w:szCs w:val="18"/>
                <w:lang w:bidi="ar"/>
              </w:rPr>
              <w:t>门</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70D5">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96DD">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5CF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达到27门得</w:t>
            </w:r>
            <w:r>
              <w:rPr>
                <w:color w:val="000000"/>
                <w:kern w:val="0"/>
                <w:sz w:val="18"/>
                <w:szCs w:val="18"/>
                <w:lang w:bidi="ar"/>
              </w:rPr>
              <w:t>2</w:t>
            </w:r>
            <w:r>
              <w:rPr>
                <w:rFonts w:hint="eastAsia" w:ascii="宋体" w:hAnsi="宋体" w:cs="宋体"/>
                <w:color w:val="000000"/>
                <w:kern w:val="0"/>
                <w:sz w:val="18"/>
                <w:szCs w:val="18"/>
                <w:lang w:bidi="ar"/>
              </w:rPr>
              <w:t>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A6C0">
            <w:pPr>
              <w:rPr>
                <w:rFonts w:ascii="宋体" w:hAnsi="宋体" w:cs="宋体"/>
                <w:color w:val="000000"/>
                <w:sz w:val="18"/>
                <w:szCs w:val="18"/>
              </w:rPr>
            </w:pPr>
          </w:p>
        </w:tc>
      </w:tr>
      <w:tr w14:paraId="3151E024">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505D5">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DC6A0">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A08C">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EC1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支撑国家级、省级一流专业建设数量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B79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评价支撑的国家级、省级一流专业数量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42F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≥19个</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D3C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19个</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5A66">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E47B">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0C0A">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达到19个得2分，未达到根据完成度得分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AECE">
            <w:pPr>
              <w:rPr>
                <w:rFonts w:ascii="宋体" w:hAnsi="宋体" w:cs="宋体"/>
                <w:color w:val="000000"/>
                <w:sz w:val="18"/>
                <w:szCs w:val="18"/>
              </w:rPr>
            </w:pPr>
          </w:p>
        </w:tc>
      </w:tr>
      <w:tr w14:paraId="7BF2698C">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08D9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56CEA">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045A5">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8F8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高水平创新创业竞赛活动奖数量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030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评价获得高水平创新创业竞赛活动奖数量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1CF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≥300项</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B9F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778项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410F">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E17">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9055">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达到300项得2分，未达到根据完成度得分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B44B">
            <w:pPr>
              <w:rPr>
                <w:rFonts w:ascii="宋体" w:hAnsi="宋体" w:cs="宋体"/>
                <w:color w:val="000000"/>
                <w:sz w:val="18"/>
                <w:szCs w:val="18"/>
              </w:rPr>
            </w:pPr>
          </w:p>
        </w:tc>
      </w:tr>
      <w:tr w14:paraId="6A66F4AA">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82AEE">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3A4BC">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38396">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C95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学生五育并举全面发展</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E84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评价对学生五育并举全面发展的促进情况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494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促进</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003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促进</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B092">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972C">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4D6C">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促进得</w:t>
            </w:r>
            <w:r>
              <w:rPr>
                <w:color w:val="000000"/>
                <w:kern w:val="0"/>
                <w:sz w:val="18"/>
                <w:szCs w:val="18"/>
                <w:lang w:bidi="ar"/>
              </w:rPr>
              <w:t>1</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0B4A">
            <w:pPr>
              <w:rPr>
                <w:color w:val="000000"/>
                <w:sz w:val="18"/>
                <w:szCs w:val="18"/>
              </w:rPr>
            </w:pPr>
          </w:p>
        </w:tc>
      </w:tr>
      <w:tr w14:paraId="49E56F5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1559">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0A6E9">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1F98">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FA1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专业建设布局</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FF2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评价专业建设布局建设优化情况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2B6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优化</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ED6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优化</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C2EA2">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5C8C1">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6E0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优化得</w:t>
            </w:r>
            <w:r>
              <w:rPr>
                <w:color w:val="000000"/>
                <w:kern w:val="0"/>
                <w:sz w:val="18"/>
                <w:szCs w:val="18"/>
                <w:lang w:bidi="ar"/>
              </w:rPr>
              <w:t>1</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DB2E">
            <w:pPr>
              <w:rPr>
                <w:color w:val="000000"/>
                <w:sz w:val="18"/>
                <w:szCs w:val="18"/>
              </w:rPr>
            </w:pPr>
          </w:p>
        </w:tc>
      </w:tr>
      <w:tr w14:paraId="4F30A96B">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5193">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F164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科研管理</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632C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加强有组织科研，建设“学术晓庄”</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DC3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支撑省、市级重点学科建设数量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47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评价支撑省、市学校重点学科数量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CBE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≥17个</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EDCF">
            <w:pPr>
              <w:widowControl/>
              <w:jc w:val="center"/>
              <w:textAlignment w:val="center"/>
              <w:rPr>
                <w:color w:val="000000"/>
                <w:sz w:val="18"/>
                <w:szCs w:val="18"/>
              </w:rPr>
            </w:pPr>
            <w:r>
              <w:rPr>
                <w:color w:val="000000"/>
                <w:kern w:val="0"/>
                <w:sz w:val="18"/>
                <w:szCs w:val="18"/>
                <w:lang w:bidi="ar"/>
              </w:rPr>
              <w:t>17</w:t>
            </w:r>
            <w:r>
              <w:rPr>
                <w:rFonts w:hint="eastAsia" w:ascii="宋体" w:hAnsi="宋体" w:cs="宋体"/>
                <w:color w:val="000000"/>
                <w:kern w:val="0"/>
                <w:sz w:val="18"/>
                <w:szCs w:val="18"/>
                <w:lang w:bidi="ar"/>
              </w:rPr>
              <w:t>个</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E634">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4817">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3CC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17</w:t>
            </w:r>
            <w:r>
              <w:rPr>
                <w:rFonts w:hint="eastAsia" w:ascii="宋体" w:hAnsi="宋体" w:cs="宋体"/>
                <w:color w:val="000000"/>
                <w:kern w:val="0"/>
                <w:sz w:val="18"/>
                <w:szCs w:val="18"/>
                <w:lang w:bidi="ar"/>
              </w:rPr>
              <w:t>个得</w:t>
            </w:r>
            <w:r>
              <w:rPr>
                <w:color w:val="000000"/>
                <w:kern w:val="0"/>
                <w:sz w:val="18"/>
                <w:szCs w:val="18"/>
                <w:lang w:bidi="ar"/>
              </w:rPr>
              <w:t>2</w:t>
            </w:r>
            <w:r>
              <w:rPr>
                <w:rFonts w:hint="eastAsia" w:ascii="宋体" w:hAnsi="宋体" w:cs="宋体"/>
                <w:color w:val="000000"/>
                <w:kern w:val="0"/>
                <w:sz w:val="18"/>
                <w:szCs w:val="18"/>
                <w:lang w:bidi="ar"/>
              </w:rPr>
              <w:t>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538A">
            <w:pPr>
              <w:rPr>
                <w:rFonts w:ascii="宋体" w:hAnsi="宋体" w:cs="宋体"/>
                <w:color w:val="000000"/>
                <w:sz w:val="18"/>
                <w:szCs w:val="18"/>
              </w:rPr>
            </w:pPr>
          </w:p>
        </w:tc>
      </w:tr>
      <w:tr w14:paraId="67CA6F30">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045BA">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B640">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B29C">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B9C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发表高水平论文数量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D0F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评价发表高水平论文数量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E90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≥100篇</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7696">
            <w:pPr>
              <w:widowControl/>
              <w:jc w:val="center"/>
              <w:textAlignment w:val="center"/>
              <w:rPr>
                <w:color w:val="000000"/>
                <w:sz w:val="18"/>
                <w:szCs w:val="18"/>
              </w:rPr>
            </w:pPr>
            <w:r>
              <w:rPr>
                <w:color w:val="000000"/>
                <w:kern w:val="0"/>
                <w:sz w:val="18"/>
                <w:szCs w:val="18"/>
                <w:lang w:bidi="ar"/>
              </w:rPr>
              <w:t>411</w:t>
            </w:r>
            <w:r>
              <w:rPr>
                <w:rFonts w:hint="eastAsia" w:ascii="宋体" w:hAnsi="宋体" w:cs="宋体"/>
                <w:color w:val="000000"/>
                <w:kern w:val="0"/>
                <w:sz w:val="18"/>
                <w:szCs w:val="18"/>
                <w:lang w:bidi="ar"/>
              </w:rPr>
              <w:t>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30A52">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CBFC">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17C2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达到100篇得</w:t>
            </w:r>
            <w:r>
              <w:rPr>
                <w:color w:val="000000"/>
                <w:kern w:val="0"/>
                <w:sz w:val="18"/>
                <w:szCs w:val="18"/>
                <w:lang w:bidi="ar"/>
              </w:rPr>
              <w:t>2</w:t>
            </w:r>
            <w:r>
              <w:rPr>
                <w:rFonts w:hint="eastAsia" w:ascii="宋体" w:hAnsi="宋体" w:cs="宋体"/>
                <w:color w:val="000000"/>
                <w:kern w:val="0"/>
                <w:sz w:val="18"/>
                <w:szCs w:val="18"/>
                <w:lang w:bidi="ar"/>
              </w:rPr>
              <w:t>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DCE0">
            <w:pPr>
              <w:rPr>
                <w:rFonts w:ascii="宋体" w:hAnsi="宋体" w:cs="宋体"/>
                <w:color w:val="000000"/>
                <w:sz w:val="18"/>
                <w:szCs w:val="18"/>
              </w:rPr>
            </w:pPr>
          </w:p>
        </w:tc>
      </w:tr>
      <w:tr w14:paraId="57A95FC7">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88144">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3FF12">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2890">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D9A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获批省部级及以上科研项目数量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B8F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评价获批的高水平科研项目数量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6E0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≥80项</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7550">
            <w:pPr>
              <w:widowControl/>
              <w:jc w:val="center"/>
              <w:textAlignment w:val="center"/>
              <w:rPr>
                <w:color w:val="000000"/>
                <w:sz w:val="18"/>
                <w:szCs w:val="18"/>
              </w:rPr>
            </w:pPr>
            <w:r>
              <w:rPr>
                <w:color w:val="000000"/>
                <w:kern w:val="0"/>
                <w:sz w:val="18"/>
                <w:szCs w:val="18"/>
                <w:lang w:bidi="ar"/>
              </w:rPr>
              <w:t>107</w:t>
            </w:r>
            <w:r>
              <w:rPr>
                <w:rFonts w:hint="eastAsia" w:ascii="宋体" w:hAnsi="宋体" w:cs="宋体"/>
                <w:color w:val="000000"/>
                <w:kern w:val="0"/>
                <w:sz w:val="18"/>
                <w:szCs w:val="18"/>
                <w:lang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4551">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02AAA">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875D">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80</w:t>
            </w:r>
            <w:r>
              <w:rPr>
                <w:rFonts w:hint="eastAsia" w:ascii="宋体" w:hAnsi="宋体" w:cs="宋体"/>
                <w:color w:val="000000"/>
                <w:kern w:val="0"/>
                <w:sz w:val="18"/>
                <w:szCs w:val="18"/>
                <w:lang w:bidi="ar"/>
              </w:rPr>
              <w:t>项得2分，未达到根据完成度得分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2B8D4">
            <w:pPr>
              <w:rPr>
                <w:rFonts w:ascii="宋体" w:hAnsi="宋体" w:cs="宋体"/>
                <w:color w:val="000000"/>
                <w:sz w:val="18"/>
                <w:szCs w:val="18"/>
              </w:rPr>
            </w:pPr>
          </w:p>
        </w:tc>
      </w:tr>
      <w:tr w14:paraId="41BF6B7A">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C2911">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03E81">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9FB9">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534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科研能力提升</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80D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评价学校科研能力提升情况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AA6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923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ABBC">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12C6">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411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提升得</w:t>
            </w:r>
            <w:r>
              <w:rPr>
                <w:rFonts w:hint="eastAsia"/>
                <w:color w:val="000000"/>
                <w:kern w:val="0"/>
                <w:sz w:val="18"/>
                <w:szCs w:val="18"/>
                <w:lang w:val="en-US" w:eastAsia="zh-CN" w:bidi="ar"/>
              </w:rPr>
              <w:t>1</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3538">
            <w:pPr>
              <w:rPr>
                <w:rFonts w:ascii="宋体" w:hAnsi="宋体" w:cs="宋体"/>
                <w:color w:val="000000"/>
                <w:sz w:val="18"/>
                <w:szCs w:val="18"/>
              </w:rPr>
            </w:pPr>
          </w:p>
        </w:tc>
      </w:tr>
      <w:tr w14:paraId="1E1BA3EB">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B01C2">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F528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师资队伍建设</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E0A3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打造人才高地，促进人才辈出</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CB0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博士学位专任教师数占专任教师数比例</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7B1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评价学校博士学位专任教师数占专任教师数比例</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3B4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≥52%</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56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63.21%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BE0C">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95CB">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78DD">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达到52</w:t>
            </w:r>
            <w:r>
              <w:rPr>
                <w:color w:val="000000"/>
                <w:kern w:val="0"/>
                <w:sz w:val="18"/>
                <w:szCs w:val="18"/>
                <w:lang w:bidi="ar"/>
              </w:rPr>
              <w:t>%</w:t>
            </w:r>
            <w:r>
              <w:rPr>
                <w:rFonts w:hint="eastAsia" w:ascii="宋体" w:hAnsi="宋体" w:cs="宋体"/>
                <w:color w:val="000000"/>
                <w:kern w:val="0"/>
                <w:sz w:val="18"/>
                <w:szCs w:val="18"/>
                <w:lang w:bidi="ar"/>
              </w:rPr>
              <w:t>得</w:t>
            </w:r>
            <w:r>
              <w:rPr>
                <w:color w:val="000000"/>
                <w:kern w:val="0"/>
                <w:sz w:val="18"/>
                <w:szCs w:val="18"/>
                <w:lang w:bidi="ar"/>
              </w:rPr>
              <w:t>2</w:t>
            </w:r>
            <w:r>
              <w:rPr>
                <w:rFonts w:hint="eastAsia" w:ascii="宋体" w:hAnsi="宋体" w:cs="宋体"/>
                <w:color w:val="000000"/>
                <w:kern w:val="0"/>
                <w:sz w:val="18"/>
                <w:szCs w:val="18"/>
                <w:lang w:bidi="ar"/>
              </w:rPr>
              <w:t>分，未达到根据完成情况得分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BAAF">
            <w:pPr>
              <w:rPr>
                <w:rFonts w:ascii="宋体" w:hAnsi="宋体" w:cs="宋体"/>
                <w:color w:val="000000"/>
                <w:sz w:val="18"/>
                <w:szCs w:val="18"/>
              </w:rPr>
            </w:pPr>
          </w:p>
        </w:tc>
      </w:tr>
      <w:tr w14:paraId="53C31AC7">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C27C5">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E694A">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A029E">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2CD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师资结构合理化</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B60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评价学校师资结构优化情况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4C8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优化</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F2A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优化</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4822">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0FED">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CD3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优化得</w:t>
            </w:r>
            <w:r>
              <w:rPr>
                <w:rFonts w:hint="eastAsia"/>
                <w:color w:val="000000"/>
                <w:kern w:val="0"/>
                <w:sz w:val="18"/>
                <w:szCs w:val="18"/>
                <w:lang w:val="en-US" w:eastAsia="zh-CN" w:bidi="ar"/>
              </w:rPr>
              <w:t>2</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9F54">
            <w:pPr>
              <w:rPr>
                <w:color w:val="000000"/>
                <w:sz w:val="18"/>
                <w:szCs w:val="18"/>
              </w:rPr>
            </w:pPr>
          </w:p>
        </w:tc>
      </w:tr>
      <w:tr w14:paraId="17C57ADF">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72625">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F6231">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691F2">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C7D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人才队伍建设完成情况</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04D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评价学校人才队伍建设完成情况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19A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良好</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C19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6DB1">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E7FB">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695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良好得</w:t>
            </w:r>
            <w:r>
              <w:rPr>
                <w:color w:val="000000"/>
                <w:kern w:val="0"/>
                <w:sz w:val="18"/>
                <w:szCs w:val="18"/>
                <w:lang w:bidi="ar"/>
              </w:rPr>
              <w:t>1</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052E">
            <w:pPr>
              <w:rPr>
                <w:color w:val="000000"/>
                <w:sz w:val="18"/>
                <w:szCs w:val="18"/>
              </w:rPr>
            </w:pPr>
          </w:p>
        </w:tc>
      </w:tr>
      <w:tr w14:paraId="27BAB5B4">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78998">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631C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社会服务</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FB96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推进校地融合发展，发挥“教师发展培训”优势</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09F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社会培训项目数量</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445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w:t>
            </w:r>
            <w:r>
              <w:rPr>
                <w:rFonts w:hint="eastAsia" w:ascii="宋体" w:hAnsi="宋体" w:cs="宋体"/>
                <w:color w:val="000000"/>
                <w:kern w:val="0"/>
                <w:sz w:val="18"/>
                <w:szCs w:val="18"/>
                <w:lang w:eastAsia="zh-CN" w:bidi="ar"/>
              </w:rPr>
              <w:t>学校</w:t>
            </w:r>
            <w:r>
              <w:rPr>
                <w:rFonts w:hint="eastAsia" w:ascii="宋体" w:hAnsi="宋体" w:cs="宋体"/>
                <w:color w:val="000000"/>
                <w:kern w:val="0"/>
                <w:sz w:val="18"/>
                <w:szCs w:val="18"/>
                <w:lang w:bidi="ar"/>
              </w:rPr>
              <w:t>组织开展的社会培训项目数量</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726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≥60项</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0832">
            <w:pPr>
              <w:widowControl/>
              <w:jc w:val="center"/>
              <w:textAlignment w:val="center"/>
              <w:rPr>
                <w:color w:val="000000"/>
                <w:sz w:val="18"/>
                <w:szCs w:val="18"/>
              </w:rPr>
            </w:pPr>
            <w:r>
              <w:rPr>
                <w:color w:val="000000"/>
                <w:kern w:val="0"/>
                <w:sz w:val="18"/>
                <w:szCs w:val="18"/>
                <w:lang w:bidi="ar"/>
              </w:rPr>
              <w:t>155</w:t>
            </w:r>
            <w:r>
              <w:rPr>
                <w:rFonts w:hint="eastAsia" w:ascii="宋体" w:hAnsi="宋体" w:cs="宋体"/>
                <w:color w:val="000000"/>
                <w:kern w:val="0"/>
                <w:sz w:val="18"/>
                <w:szCs w:val="18"/>
                <w:lang w:bidi="ar"/>
              </w:rPr>
              <w:t>项</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43E6">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B150">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0CF9">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达到60项得2分，未达到根据完成情况得分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8E2A">
            <w:pPr>
              <w:rPr>
                <w:color w:val="000000"/>
                <w:sz w:val="18"/>
                <w:szCs w:val="18"/>
              </w:rPr>
            </w:pPr>
          </w:p>
        </w:tc>
      </w:tr>
      <w:tr w14:paraId="4D968F57">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8911">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C205F">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2DC7D">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8A8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社会培训项目满意度</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B5F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评价学员对社会培训的满意度</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727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≥90%</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C0509">
            <w:pPr>
              <w:widowControl/>
              <w:jc w:val="center"/>
              <w:textAlignment w:val="center"/>
              <w:rPr>
                <w:color w:val="000000"/>
                <w:sz w:val="18"/>
                <w:szCs w:val="18"/>
              </w:rPr>
            </w:pPr>
            <w:r>
              <w:rPr>
                <w:color w:val="000000"/>
                <w:kern w:val="0"/>
                <w:sz w:val="18"/>
                <w:szCs w:val="18"/>
                <w:lang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F5A6">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B0CE">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9DF6">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90%</w:t>
            </w:r>
            <w:r>
              <w:rPr>
                <w:rFonts w:hint="eastAsia" w:ascii="宋体" w:hAnsi="宋体" w:cs="宋体"/>
                <w:color w:val="000000"/>
                <w:kern w:val="0"/>
                <w:sz w:val="18"/>
                <w:szCs w:val="18"/>
                <w:lang w:bidi="ar"/>
              </w:rPr>
              <w:t>得</w:t>
            </w:r>
            <w:r>
              <w:rPr>
                <w:color w:val="000000"/>
                <w:kern w:val="0"/>
                <w:sz w:val="18"/>
                <w:szCs w:val="18"/>
                <w:lang w:bidi="ar"/>
              </w:rPr>
              <w:t>1</w:t>
            </w:r>
            <w:r>
              <w:rPr>
                <w:rFonts w:hint="eastAsia" w:ascii="宋体" w:hAnsi="宋体" w:cs="宋体"/>
                <w:color w:val="000000"/>
                <w:kern w:val="0"/>
                <w:sz w:val="18"/>
                <w:szCs w:val="18"/>
                <w:lang w:bidi="ar"/>
              </w:rPr>
              <w:t>分，未达到酌情减分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B903">
            <w:pPr>
              <w:rPr>
                <w:rFonts w:ascii="宋体" w:hAnsi="宋体" w:cs="宋体"/>
                <w:color w:val="000000"/>
                <w:sz w:val="18"/>
                <w:szCs w:val="18"/>
              </w:rPr>
            </w:pPr>
          </w:p>
        </w:tc>
      </w:tr>
      <w:tr w14:paraId="4082EC8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5E1F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512C">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5C98A">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BB0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心理咨询服务人数</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CEB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评价学校心理咨询热线和面询等服务中小学生和家庭人数</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33E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≥15000人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04F3">
            <w:pPr>
              <w:widowControl/>
              <w:jc w:val="center"/>
              <w:textAlignment w:val="center"/>
              <w:rPr>
                <w:color w:val="000000"/>
                <w:sz w:val="18"/>
                <w:szCs w:val="18"/>
              </w:rPr>
            </w:pPr>
            <w:r>
              <w:rPr>
                <w:color w:val="000000"/>
                <w:kern w:val="0"/>
                <w:sz w:val="18"/>
                <w:szCs w:val="18"/>
                <w:lang w:bidi="ar"/>
              </w:rPr>
              <w:t>16000</w:t>
            </w:r>
            <w:r>
              <w:rPr>
                <w:rFonts w:hint="eastAsia" w:ascii="宋体" w:hAnsi="宋体" w:cs="宋体"/>
                <w:color w:val="000000"/>
                <w:kern w:val="0"/>
                <w:sz w:val="18"/>
                <w:szCs w:val="18"/>
                <w:lang w:bidi="ar"/>
              </w:rPr>
              <w:t>人</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9952">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BDBA">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415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15000</w:t>
            </w:r>
            <w:r>
              <w:rPr>
                <w:rFonts w:hint="eastAsia" w:ascii="宋体" w:hAnsi="宋体" w:cs="宋体"/>
                <w:color w:val="000000"/>
                <w:kern w:val="0"/>
                <w:sz w:val="18"/>
                <w:szCs w:val="18"/>
                <w:lang w:bidi="ar"/>
              </w:rPr>
              <w:t>人得</w:t>
            </w:r>
            <w:r>
              <w:rPr>
                <w:rFonts w:hint="eastAsia"/>
                <w:color w:val="000000"/>
                <w:kern w:val="0"/>
                <w:sz w:val="18"/>
                <w:szCs w:val="18"/>
                <w:lang w:val="en-US" w:eastAsia="zh-CN" w:bidi="ar"/>
              </w:rPr>
              <w:t>2</w:t>
            </w:r>
            <w:r>
              <w:rPr>
                <w:rFonts w:hint="eastAsia" w:ascii="宋体" w:hAnsi="宋体" w:cs="宋体"/>
                <w:color w:val="000000"/>
                <w:kern w:val="0"/>
                <w:sz w:val="18"/>
                <w:szCs w:val="18"/>
                <w:lang w:bidi="ar"/>
              </w:rPr>
              <w:t>分，未达到根据完成情况得分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80DA">
            <w:pPr>
              <w:rPr>
                <w:rFonts w:ascii="宋体" w:hAnsi="宋体" w:cs="宋体"/>
                <w:color w:val="000000"/>
                <w:sz w:val="18"/>
                <w:szCs w:val="18"/>
              </w:rPr>
            </w:pPr>
          </w:p>
        </w:tc>
      </w:tr>
      <w:tr w14:paraId="1ABB6CDD">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9063A">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0E3B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学校服务保障</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BEA9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优化服务保障，完善治理体系</w:t>
            </w: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B02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安全保卫和后勤服务保障水平</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97B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评价改进学校安全保卫和后勤服务保障水平的情况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040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2B0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8502">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72EC">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8F5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提升得2分，酌情减分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D581">
            <w:pPr>
              <w:rPr>
                <w:rFonts w:ascii="宋体" w:hAnsi="宋体" w:cs="宋体"/>
                <w:color w:val="000000"/>
                <w:sz w:val="18"/>
                <w:szCs w:val="18"/>
              </w:rPr>
            </w:pPr>
          </w:p>
        </w:tc>
      </w:tr>
      <w:tr w14:paraId="7AF53C67">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1A33">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EE0B">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9FBD4">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DA1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信息化、数字化治理效能</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A7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评价改进学校信息化、数字化治理水平的情况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490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9E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9CA4">
            <w:pPr>
              <w:widowControl/>
              <w:jc w:val="center"/>
              <w:textAlignment w:val="center"/>
              <w:rPr>
                <w:color w:val="000000"/>
                <w:sz w:val="18"/>
                <w:szCs w:val="18"/>
              </w:rPr>
            </w:pPr>
            <w:r>
              <w:rPr>
                <w:color w:val="000000"/>
                <w:kern w:val="0"/>
                <w:sz w:val="18"/>
                <w:szCs w:val="18"/>
                <w:lang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F67F">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6BD0">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提升得</w:t>
            </w:r>
            <w:r>
              <w:rPr>
                <w:color w:val="000000"/>
                <w:kern w:val="0"/>
                <w:sz w:val="18"/>
                <w:szCs w:val="18"/>
                <w:lang w:bidi="ar"/>
              </w:rPr>
              <w:t>1</w:t>
            </w:r>
            <w:r>
              <w:rPr>
                <w:rFonts w:hint="eastAsia" w:ascii="宋体" w:hAnsi="宋体" w:cs="宋体"/>
                <w:color w:val="000000"/>
                <w:kern w:val="0"/>
                <w:sz w:val="18"/>
                <w:szCs w:val="18"/>
                <w:lang w:bidi="ar"/>
              </w:rPr>
              <w:t>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CDA1">
            <w:pPr>
              <w:rPr>
                <w:rFonts w:ascii="宋体" w:hAnsi="宋体" w:cs="宋体"/>
                <w:color w:val="000000"/>
                <w:sz w:val="18"/>
                <w:szCs w:val="18"/>
              </w:rPr>
            </w:pPr>
          </w:p>
        </w:tc>
      </w:tr>
      <w:tr w14:paraId="46595798">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2DFC">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FEC0D">
            <w:pPr>
              <w:jc w:val="center"/>
              <w:rPr>
                <w:rFonts w:ascii="宋体" w:hAnsi="宋体" w:cs="宋体"/>
                <w:color w:val="000000"/>
                <w:sz w:val="18"/>
                <w:szCs w:val="18"/>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F577D">
            <w:pPr>
              <w:jc w:val="center"/>
              <w:rPr>
                <w:rFonts w:ascii="宋体" w:hAnsi="宋体" w:cs="宋体"/>
                <w:color w:val="000000"/>
                <w:sz w:val="18"/>
                <w:szCs w:val="18"/>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02B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学生住宿条件和教学条件</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278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评价改善学生住宿条件和教学条件的情况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319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改善</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B19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改善</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1F299">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B924">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6096">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改善得2分，酌情减分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316A">
            <w:pPr>
              <w:rPr>
                <w:rFonts w:ascii="宋体" w:hAnsi="宋体" w:cs="宋体"/>
                <w:color w:val="000000"/>
                <w:sz w:val="18"/>
                <w:szCs w:val="18"/>
              </w:rPr>
            </w:pPr>
          </w:p>
        </w:tc>
      </w:tr>
      <w:tr w14:paraId="139FEA1A">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E22F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（30分）</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F479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社会效益</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9ABF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受益学生人数</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18C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评价学校建设发展的受益学生人数</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C7F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≥18000人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011D6">
            <w:pPr>
              <w:widowControl/>
              <w:jc w:val="center"/>
              <w:textAlignment w:val="center"/>
              <w:rPr>
                <w:color w:val="000000"/>
                <w:sz w:val="18"/>
                <w:szCs w:val="18"/>
              </w:rPr>
            </w:pPr>
            <w:r>
              <w:rPr>
                <w:color w:val="000000"/>
                <w:kern w:val="0"/>
                <w:sz w:val="18"/>
                <w:szCs w:val="18"/>
                <w:lang w:bidi="ar"/>
              </w:rPr>
              <w:t>18341</w:t>
            </w:r>
            <w:r>
              <w:rPr>
                <w:rFonts w:hint="eastAsia" w:ascii="宋体" w:hAnsi="宋体" w:cs="宋体"/>
                <w:color w:val="000000"/>
                <w:kern w:val="0"/>
                <w:sz w:val="18"/>
                <w:szCs w:val="18"/>
                <w:lang w:bidi="ar"/>
              </w:rPr>
              <w:t>人</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91BCD">
            <w:pPr>
              <w:widowControl/>
              <w:jc w:val="center"/>
              <w:textAlignment w:val="center"/>
              <w:rPr>
                <w:color w:val="000000"/>
                <w:sz w:val="18"/>
                <w:szCs w:val="18"/>
              </w:rPr>
            </w:pPr>
            <w:r>
              <w:rPr>
                <w:color w:val="000000"/>
                <w:kern w:val="0"/>
                <w:sz w:val="18"/>
                <w:szCs w:val="18"/>
                <w:lang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783E">
            <w:pPr>
              <w:widowControl/>
              <w:jc w:val="center"/>
              <w:textAlignment w:val="center"/>
              <w:rPr>
                <w:color w:val="000000"/>
                <w:sz w:val="18"/>
                <w:szCs w:val="18"/>
              </w:rPr>
            </w:pPr>
            <w:r>
              <w:rPr>
                <w:color w:val="000000"/>
                <w:kern w:val="0"/>
                <w:sz w:val="18"/>
                <w:szCs w:val="18"/>
                <w:lang w:bidi="ar"/>
              </w:rPr>
              <w:t>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A43D">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18000</w:t>
            </w:r>
            <w:r>
              <w:rPr>
                <w:rFonts w:hint="eastAsia" w:ascii="宋体" w:hAnsi="宋体" w:cs="宋体"/>
                <w:color w:val="000000"/>
                <w:kern w:val="0"/>
                <w:sz w:val="18"/>
                <w:szCs w:val="18"/>
                <w:lang w:bidi="ar"/>
              </w:rPr>
              <w:t>人得5分，未达到酌情减分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7719">
            <w:pPr>
              <w:rPr>
                <w:color w:val="000000"/>
                <w:sz w:val="18"/>
                <w:szCs w:val="18"/>
              </w:rPr>
            </w:pPr>
          </w:p>
        </w:tc>
      </w:tr>
      <w:tr w14:paraId="4F48FF7E">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B01F">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59CCE">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D7B4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服务地方和社会发展情况</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2B8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评价学校服务地方和社会的情况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1C9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良好</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621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良好</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7C94">
            <w:pPr>
              <w:widowControl/>
              <w:jc w:val="center"/>
              <w:textAlignment w:val="center"/>
              <w:rPr>
                <w:color w:val="000000"/>
                <w:sz w:val="18"/>
                <w:szCs w:val="18"/>
              </w:rPr>
            </w:pPr>
            <w:r>
              <w:rPr>
                <w:color w:val="000000"/>
                <w:kern w:val="0"/>
                <w:sz w:val="18"/>
                <w:szCs w:val="18"/>
                <w:lang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1148">
            <w:pPr>
              <w:widowControl/>
              <w:jc w:val="center"/>
              <w:textAlignment w:val="center"/>
              <w:rPr>
                <w:color w:val="000000"/>
                <w:sz w:val="18"/>
                <w:szCs w:val="18"/>
              </w:rPr>
            </w:pPr>
            <w:r>
              <w:rPr>
                <w:color w:val="000000"/>
                <w:kern w:val="0"/>
                <w:sz w:val="18"/>
                <w:szCs w:val="18"/>
                <w:lang w:bidi="ar"/>
              </w:rPr>
              <w:t>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D6FC">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良好得5分，酌情减分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8DF5">
            <w:pPr>
              <w:rPr>
                <w:color w:val="000000"/>
                <w:sz w:val="18"/>
                <w:szCs w:val="18"/>
              </w:rPr>
            </w:pPr>
          </w:p>
        </w:tc>
      </w:tr>
      <w:tr w14:paraId="1A762F9D">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E589E">
            <w:pPr>
              <w:jc w:val="center"/>
              <w:rPr>
                <w:rFonts w:ascii="宋体" w:hAnsi="宋体" w:cs="宋体"/>
                <w:color w:val="000000"/>
                <w:sz w:val="18"/>
                <w:szCs w:val="18"/>
              </w:rPr>
            </w:pP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A890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生态效益</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8A7E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实验室废弃物处置情况</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AC7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评价实验室废弃物处置是否安全合规</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6A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安全、规范</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EFD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安全、规范</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C939">
            <w:pPr>
              <w:widowControl/>
              <w:jc w:val="center"/>
              <w:textAlignment w:val="center"/>
              <w:rPr>
                <w:color w:val="000000"/>
                <w:sz w:val="18"/>
                <w:szCs w:val="18"/>
              </w:rPr>
            </w:pPr>
            <w:r>
              <w:rPr>
                <w:color w:val="000000"/>
                <w:kern w:val="0"/>
                <w:sz w:val="18"/>
                <w:szCs w:val="18"/>
                <w:lang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596F">
            <w:pPr>
              <w:widowControl/>
              <w:jc w:val="center"/>
              <w:textAlignment w:val="center"/>
              <w:rPr>
                <w:color w:val="000000"/>
                <w:sz w:val="18"/>
                <w:szCs w:val="18"/>
              </w:rPr>
            </w:pPr>
            <w:r>
              <w:rPr>
                <w:color w:val="000000"/>
                <w:kern w:val="0"/>
                <w:sz w:val="18"/>
                <w:szCs w:val="18"/>
                <w:lang w:bidi="ar"/>
              </w:rPr>
              <w:t>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ED5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安全、规范得5分，酌情减分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D962">
            <w:pPr>
              <w:rPr>
                <w:rFonts w:ascii="宋体" w:hAnsi="宋体" w:cs="宋体"/>
                <w:color w:val="000000"/>
                <w:sz w:val="18"/>
                <w:szCs w:val="18"/>
              </w:rPr>
            </w:pPr>
          </w:p>
        </w:tc>
      </w:tr>
      <w:tr w14:paraId="5C7349FC">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D578D">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4A66E">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1C93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采用节能环保建筑材料，倡导绿色健康环保理念</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20C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评价学校维修改造项目采用节能环保建筑材料情况</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A91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较高</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9F7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较高</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5BA2">
            <w:pPr>
              <w:widowControl/>
              <w:jc w:val="center"/>
              <w:textAlignment w:val="center"/>
              <w:rPr>
                <w:color w:val="000000"/>
                <w:sz w:val="18"/>
                <w:szCs w:val="18"/>
              </w:rPr>
            </w:pPr>
            <w:r>
              <w:rPr>
                <w:color w:val="000000"/>
                <w:kern w:val="0"/>
                <w:sz w:val="18"/>
                <w:szCs w:val="18"/>
                <w:lang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4EC9">
            <w:pPr>
              <w:widowControl/>
              <w:jc w:val="center"/>
              <w:textAlignment w:val="center"/>
              <w:rPr>
                <w:color w:val="000000"/>
                <w:sz w:val="18"/>
                <w:szCs w:val="18"/>
              </w:rPr>
            </w:pPr>
            <w:r>
              <w:rPr>
                <w:color w:val="000000"/>
                <w:kern w:val="0"/>
                <w:sz w:val="18"/>
                <w:szCs w:val="18"/>
                <w:lang w:bidi="ar"/>
              </w:rPr>
              <w:t>5</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5573">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较高得5分，酌情减分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1437">
            <w:pPr>
              <w:rPr>
                <w:rFonts w:ascii="宋体" w:hAnsi="宋体" w:cs="宋体"/>
                <w:color w:val="000000"/>
                <w:sz w:val="18"/>
                <w:szCs w:val="18"/>
              </w:rPr>
            </w:pPr>
          </w:p>
        </w:tc>
      </w:tr>
      <w:tr w14:paraId="64417531">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A37BD">
            <w:pPr>
              <w:jc w:val="center"/>
              <w:rPr>
                <w:rFonts w:ascii="宋体" w:hAnsi="宋体" w:cs="宋体"/>
                <w:color w:val="000000"/>
                <w:sz w:val="18"/>
                <w:szCs w:val="18"/>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3CC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可持续影响</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D867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学校办学条件和办学水平</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895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评价本年内涵建设等对学校办学条件和办学水平的提升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FAB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FAF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提升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BFEF">
            <w:pPr>
              <w:widowControl/>
              <w:jc w:val="center"/>
              <w:textAlignment w:val="center"/>
              <w:rPr>
                <w:color w:val="000000"/>
                <w:sz w:val="18"/>
                <w:szCs w:val="18"/>
              </w:rPr>
            </w:pPr>
            <w:r>
              <w:rPr>
                <w:color w:val="000000"/>
                <w:kern w:val="0"/>
                <w:sz w:val="18"/>
                <w:szCs w:val="18"/>
                <w:lang w:bidi="ar"/>
              </w:rPr>
              <w:t>10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0F9D">
            <w:pPr>
              <w:widowControl/>
              <w:jc w:val="center"/>
              <w:textAlignment w:val="center"/>
              <w:rPr>
                <w:color w:val="000000"/>
                <w:sz w:val="18"/>
                <w:szCs w:val="18"/>
              </w:rPr>
            </w:pPr>
            <w:r>
              <w:rPr>
                <w:color w:val="000000"/>
                <w:kern w:val="0"/>
                <w:sz w:val="18"/>
                <w:szCs w:val="18"/>
                <w:lang w:bidi="ar"/>
              </w:rPr>
              <w:t>10</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C112">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提升得10分，酌情减分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8A81">
            <w:pPr>
              <w:rPr>
                <w:rFonts w:ascii="宋体" w:hAnsi="宋体" w:cs="宋体"/>
                <w:color w:val="000000"/>
                <w:sz w:val="18"/>
                <w:szCs w:val="18"/>
              </w:rPr>
            </w:pPr>
          </w:p>
        </w:tc>
      </w:tr>
      <w:tr w14:paraId="1B2D6BA1">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9BC3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（5分）</w:t>
            </w:r>
          </w:p>
        </w:tc>
        <w:tc>
          <w:tcPr>
            <w:tcW w:w="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6FEB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服务对象满意度</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5D5A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学生满意度</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F2C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评价学生对学校各方面的满意度</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D1D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≥90%</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03AD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CE2F">
            <w:pPr>
              <w:widowControl/>
              <w:jc w:val="center"/>
              <w:textAlignment w:val="center"/>
              <w:rPr>
                <w:color w:val="000000"/>
                <w:sz w:val="18"/>
                <w:szCs w:val="18"/>
              </w:rPr>
            </w:pPr>
            <w:r>
              <w:rPr>
                <w:color w:val="000000"/>
                <w:kern w:val="0"/>
                <w:sz w:val="18"/>
                <w:szCs w:val="18"/>
                <w:lang w:bidi="ar"/>
              </w:rPr>
              <w:t>3</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A6C2">
            <w:pPr>
              <w:widowControl/>
              <w:jc w:val="center"/>
              <w:textAlignment w:val="center"/>
              <w:rPr>
                <w:color w:val="000000"/>
                <w:sz w:val="18"/>
                <w:szCs w:val="18"/>
              </w:rPr>
            </w:pPr>
            <w:r>
              <w:rPr>
                <w:color w:val="000000"/>
                <w:kern w:val="0"/>
                <w:sz w:val="18"/>
                <w:szCs w:val="18"/>
                <w:lang w:bidi="ar"/>
              </w:rPr>
              <w:t>3</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3778">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90%</w:t>
            </w:r>
            <w:r>
              <w:rPr>
                <w:rFonts w:hint="eastAsia" w:ascii="宋体" w:hAnsi="宋体" w:cs="宋体"/>
                <w:color w:val="000000"/>
                <w:kern w:val="0"/>
                <w:sz w:val="18"/>
                <w:szCs w:val="18"/>
                <w:lang w:bidi="ar"/>
              </w:rPr>
              <w:t>得3分，酌情减分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CC02">
            <w:pPr>
              <w:rPr>
                <w:rFonts w:ascii="宋体" w:hAnsi="宋体" w:cs="宋体"/>
                <w:color w:val="000000"/>
                <w:sz w:val="18"/>
                <w:szCs w:val="18"/>
              </w:rPr>
            </w:pPr>
          </w:p>
        </w:tc>
      </w:tr>
      <w:tr w14:paraId="441C737D">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BF8E">
            <w:pPr>
              <w:jc w:val="center"/>
              <w:rPr>
                <w:rFonts w:ascii="宋体" w:hAnsi="宋体" w:cs="宋体"/>
                <w:color w:val="000000"/>
                <w:sz w:val="18"/>
                <w:szCs w:val="18"/>
              </w:rPr>
            </w:pPr>
          </w:p>
        </w:tc>
        <w:tc>
          <w:tcPr>
            <w:tcW w:w="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F69AD">
            <w:pPr>
              <w:jc w:val="center"/>
              <w:rPr>
                <w:rFonts w:ascii="宋体" w:hAnsi="宋体" w:cs="宋体"/>
                <w:color w:val="000000"/>
                <w:sz w:val="18"/>
                <w:szCs w:val="18"/>
              </w:rPr>
            </w:pP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5E97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家长满意度</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547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评价家长对学校各方面的满意度</w:t>
            </w:r>
          </w:p>
        </w:tc>
        <w:tc>
          <w:tcPr>
            <w:tcW w:w="1100" w:type="dxa"/>
            <w:tcBorders>
              <w:top w:val="single" w:color="000000" w:sz="4" w:space="0"/>
              <w:left w:val="single" w:color="000000" w:sz="4" w:space="0"/>
              <w:bottom w:val="nil"/>
              <w:right w:val="single" w:color="000000" w:sz="4" w:space="0"/>
            </w:tcBorders>
            <w:shd w:val="clear" w:color="auto" w:fill="auto"/>
            <w:vAlign w:val="center"/>
          </w:tcPr>
          <w:p w14:paraId="543B215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≥90%</w:t>
            </w:r>
          </w:p>
        </w:tc>
        <w:tc>
          <w:tcPr>
            <w:tcW w:w="1340" w:type="dxa"/>
            <w:tcBorders>
              <w:top w:val="single" w:color="000000" w:sz="4" w:space="0"/>
              <w:left w:val="single" w:color="000000" w:sz="4" w:space="0"/>
              <w:bottom w:val="nil"/>
              <w:right w:val="single" w:color="000000" w:sz="4" w:space="0"/>
            </w:tcBorders>
            <w:shd w:val="clear" w:color="auto" w:fill="auto"/>
            <w:noWrap/>
            <w:vAlign w:val="center"/>
          </w:tcPr>
          <w:p w14:paraId="7B7AF00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90%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2C30">
            <w:pPr>
              <w:widowControl/>
              <w:jc w:val="center"/>
              <w:textAlignment w:val="center"/>
              <w:rPr>
                <w:color w:val="000000"/>
                <w:sz w:val="18"/>
                <w:szCs w:val="18"/>
              </w:rPr>
            </w:pPr>
            <w:r>
              <w:rPr>
                <w:color w:val="000000"/>
                <w:kern w:val="0"/>
                <w:sz w:val="18"/>
                <w:szCs w:val="18"/>
                <w:lang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F9CA">
            <w:pPr>
              <w:widowControl/>
              <w:jc w:val="center"/>
              <w:textAlignment w:val="center"/>
              <w:rPr>
                <w:color w:val="000000"/>
                <w:sz w:val="18"/>
                <w:szCs w:val="18"/>
              </w:rPr>
            </w:pPr>
            <w:r>
              <w:rPr>
                <w:color w:val="000000"/>
                <w:kern w:val="0"/>
                <w:sz w:val="18"/>
                <w:szCs w:val="18"/>
                <w:lang w:bidi="ar"/>
              </w:rPr>
              <w:t>2</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97BE">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达到</w:t>
            </w:r>
            <w:r>
              <w:rPr>
                <w:color w:val="000000"/>
                <w:kern w:val="0"/>
                <w:sz w:val="18"/>
                <w:szCs w:val="18"/>
                <w:lang w:bidi="ar"/>
              </w:rPr>
              <w:t>90%</w:t>
            </w:r>
            <w:r>
              <w:rPr>
                <w:rFonts w:hint="eastAsia" w:ascii="宋体" w:hAnsi="宋体" w:cs="宋体"/>
                <w:color w:val="000000"/>
                <w:kern w:val="0"/>
                <w:sz w:val="18"/>
                <w:szCs w:val="18"/>
                <w:lang w:bidi="ar"/>
              </w:rPr>
              <w:t>得2分，酌情减分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3A4E">
            <w:pPr>
              <w:rPr>
                <w:rFonts w:ascii="宋体" w:hAnsi="宋体" w:cs="宋体"/>
                <w:color w:val="000000"/>
                <w:sz w:val="18"/>
                <w:szCs w:val="18"/>
              </w:rPr>
            </w:pPr>
          </w:p>
        </w:tc>
      </w:tr>
      <w:tr w14:paraId="0DC193CA">
        <w:tblPrEx>
          <w:tblCellMar>
            <w:top w:w="0" w:type="dxa"/>
            <w:left w:w="108" w:type="dxa"/>
            <w:bottom w:w="0" w:type="dxa"/>
            <w:right w:w="108" w:type="dxa"/>
          </w:tblCellMar>
        </w:tblPrEx>
        <w:trPr>
          <w:trHeight w:val="400" w:hRule="atLeast"/>
          <w:tblHeader/>
        </w:trPr>
        <w:tc>
          <w:tcPr>
            <w:tcW w:w="1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7623F">
            <w:pPr>
              <w:widowControl/>
              <w:jc w:val="left"/>
              <w:textAlignment w:val="center"/>
              <w:rPr>
                <w:color w:val="000000"/>
                <w:sz w:val="18"/>
                <w:szCs w:val="18"/>
              </w:rPr>
            </w:pPr>
            <w:r>
              <w:rPr>
                <w:color w:val="000000"/>
                <w:kern w:val="0"/>
                <w:sz w:val="18"/>
                <w:szCs w:val="18"/>
                <w:lang w:bidi="ar"/>
              </w:rPr>
              <w:t>F</w:t>
            </w:r>
            <w:r>
              <w:rPr>
                <w:rFonts w:hint="eastAsia" w:ascii="宋体" w:hAnsi="宋体" w:cs="宋体"/>
                <w:color w:val="000000"/>
                <w:kern w:val="0"/>
                <w:sz w:val="18"/>
                <w:szCs w:val="18"/>
                <w:lang w:bidi="ar"/>
              </w:rPr>
              <w:t>加减分项（≤</w:t>
            </w:r>
            <w:r>
              <w:rPr>
                <w:color w:val="000000"/>
                <w:kern w:val="0"/>
                <w:sz w:val="18"/>
                <w:szCs w:val="18"/>
                <w:lang w:bidi="ar"/>
              </w:rPr>
              <w:t>5</w:t>
            </w:r>
            <w:r>
              <w:rPr>
                <w:rFonts w:hint="eastAsia" w:ascii="宋体" w:hAnsi="宋体" w:cs="宋体"/>
                <w:color w:val="000000"/>
                <w:kern w:val="0"/>
                <w:sz w:val="18"/>
                <w:szCs w:val="18"/>
                <w:lang w:bidi="ar"/>
              </w:rPr>
              <w:t>分）</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CA93">
            <w:pPr>
              <w:widowControl/>
              <w:jc w:val="center"/>
              <w:textAlignment w:val="center"/>
              <w:rPr>
                <w:color w:val="000000"/>
                <w:sz w:val="18"/>
                <w:szCs w:val="18"/>
              </w:rPr>
            </w:pPr>
            <w:r>
              <w:rPr>
                <w:color w:val="000000"/>
                <w:kern w:val="0"/>
                <w:sz w:val="18"/>
                <w:szCs w:val="18"/>
                <w:lang w:bidi="ar"/>
              </w:rPr>
              <w:t>F1</w:t>
            </w:r>
            <w:r>
              <w:rPr>
                <w:rFonts w:hint="eastAsia" w:ascii="宋体" w:hAnsi="宋体" w:cs="宋体"/>
                <w:color w:val="000000"/>
                <w:kern w:val="0"/>
                <w:sz w:val="18"/>
                <w:szCs w:val="18"/>
                <w:lang w:bidi="ar"/>
              </w:rPr>
              <w:t>加分项</w:t>
            </w:r>
          </w:p>
        </w:tc>
        <w:tc>
          <w:tcPr>
            <w:tcW w:w="34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85260">
            <w:pPr>
              <w:widowControl/>
              <w:jc w:val="center"/>
              <w:textAlignment w:val="center"/>
              <w:rPr>
                <w:color w:val="000000"/>
                <w:sz w:val="18"/>
                <w:szCs w:val="18"/>
              </w:rPr>
            </w:pPr>
            <w:r>
              <w:rPr>
                <w:color w:val="000000"/>
                <w:kern w:val="0"/>
                <w:sz w:val="18"/>
                <w:szCs w:val="18"/>
                <w:lang w:bidi="ar"/>
              </w:rPr>
              <w:t>F11</w:t>
            </w:r>
            <w:r>
              <w:rPr>
                <w:rFonts w:hint="eastAsia" w:ascii="宋体" w:hAnsi="宋体" w:cs="宋体"/>
                <w:color w:val="000000"/>
                <w:kern w:val="0"/>
                <w:sz w:val="18"/>
                <w:szCs w:val="18"/>
                <w:lang w:bidi="ar"/>
              </w:rPr>
              <w:t>本年度收到各级荣誉表彰</w:t>
            </w:r>
          </w:p>
        </w:tc>
        <w:tc>
          <w:tcPr>
            <w:tcW w:w="2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192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部门（单位）受到国务院、省级、市级嘉奖</w:t>
            </w:r>
          </w:p>
        </w:tc>
        <w:tc>
          <w:tcPr>
            <w:tcW w:w="1100" w:type="dxa"/>
            <w:tcBorders>
              <w:top w:val="single" w:color="000000" w:sz="4" w:space="0"/>
              <w:left w:val="single" w:color="000000" w:sz="4" w:space="0"/>
              <w:bottom w:val="nil"/>
              <w:right w:val="single" w:color="000000" w:sz="4" w:space="0"/>
            </w:tcBorders>
            <w:shd w:val="clear" w:color="auto" w:fill="auto"/>
            <w:vAlign w:val="center"/>
          </w:tcPr>
          <w:p w14:paraId="713A8C5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1项</w:t>
            </w:r>
          </w:p>
        </w:tc>
        <w:tc>
          <w:tcPr>
            <w:tcW w:w="1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AEA8">
            <w:pPr>
              <w:widowControl/>
              <w:jc w:val="center"/>
              <w:textAlignment w:val="center"/>
              <w:rPr>
                <w:color w:val="000000"/>
                <w:sz w:val="18"/>
                <w:szCs w:val="18"/>
              </w:rPr>
            </w:pPr>
            <w:r>
              <w:rPr>
                <w:color w:val="000000"/>
                <w:kern w:val="0"/>
                <w:sz w:val="18"/>
                <w:szCs w:val="18"/>
                <w:lang w:bidi="ar"/>
              </w:rPr>
              <w:t>1</w:t>
            </w:r>
            <w:r>
              <w:rPr>
                <w:rFonts w:hint="eastAsia" w:ascii="宋体" w:hAnsi="宋体" w:cs="宋体"/>
                <w:color w:val="000000"/>
                <w:kern w:val="0"/>
                <w:sz w:val="18"/>
                <w:szCs w:val="18"/>
                <w:lang w:bidi="ar"/>
              </w:rPr>
              <w:t>项，</w:t>
            </w:r>
            <w:r>
              <w:rPr>
                <w:color w:val="000000"/>
                <w:kern w:val="0"/>
                <w:sz w:val="18"/>
                <w:szCs w:val="18"/>
                <w:lang w:bidi="ar"/>
              </w:rPr>
              <w:t>2025</w:t>
            </w:r>
            <w:r>
              <w:rPr>
                <w:rFonts w:hint="eastAsia" w:ascii="宋体" w:hAnsi="宋体" w:cs="宋体"/>
                <w:color w:val="000000"/>
                <w:kern w:val="0"/>
                <w:sz w:val="18"/>
                <w:szCs w:val="18"/>
                <w:lang w:bidi="ar"/>
              </w:rPr>
              <w:t>年度南京市绩效考核学校位列第一等次</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6721">
            <w:pPr>
              <w:widowControl/>
              <w:jc w:val="center"/>
              <w:textAlignment w:val="center"/>
              <w:rPr>
                <w:color w:val="000000"/>
                <w:sz w:val="18"/>
                <w:szCs w:val="18"/>
              </w:rPr>
            </w:pPr>
            <w:r>
              <w:rPr>
                <w:color w:val="000000"/>
                <w:kern w:val="0"/>
                <w:sz w:val="18"/>
                <w:szCs w:val="18"/>
                <w:lang w:bidi="ar"/>
              </w:rPr>
              <w:t>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3FD3">
            <w:pPr>
              <w:widowControl/>
              <w:jc w:val="center"/>
              <w:textAlignment w:val="center"/>
              <w:rPr>
                <w:color w:val="000000"/>
                <w:sz w:val="18"/>
                <w:szCs w:val="18"/>
              </w:rPr>
            </w:pPr>
            <w:r>
              <w:rPr>
                <w:color w:val="000000"/>
                <w:kern w:val="0"/>
                <w:sz w:val="18"/>
                <w:szCs w:val="18"/>
                <w:lang w:bidi="ar"/>
              </w:rPr>
              <w:t>1</w:t>
            </w:r>
          </w:p>
        </w:tc>
        <w:tc>
          <w:tcPr>
            <w:tcW w:w="2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252A">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受到国务院嘉奖加</w:t>
            </w:r>
            <w:r>
              <w:rPr>
                <w:color w:val="000000"/>
                <w:kern w:val="0"/>
                <w:sz w:val="18"/>
                <w:szCs w:val="18"/>
                <w:lang w:bidi="ar"/>
              </w:rPr>
              <w:t>3</w:t>
            </w:r>
            <w:r>
              <w:rPr>
                <w:rFonts w:hint="eastAsia" w:ascii="宋体" w:hAnsi="宋体" w:cs="宋体"/>
                <w:color w:val="000000"/>
                <w:kern w:val="0"/>
                <w:sz w:val="18"/>
                <w:szCs w:val="18"/>
                <w:lang w:bidi="ar"/>
              </w:rPr>
              <w:t>分，受到省级嘉奖加</w:t>
            </w:r>
            <w:r>
              <w:rPr>
                <w:color w:val="000000"/>
                <w:kern w:val="0"/>
                <w:sz w:val="18"/>
                <w:szCs w:val="18"/>
                <w:lang w:bidi="ar"/>
              </w:rPr>
              <w:t>2</w:t>
            </w:r>
            <w:r>
              <w:rPr>
                <w:rFonts w:hint="eastAsia" w:ascii="宋体" w:hAnsi="宋体" w:cs="宋体"/>
                <w:color w:val="000000"/>
                <w:kern w:val="0"/>
                <w:sz w:val="18"/>
                <w:szCs w:val="18"/>
                <w:lang w:bidi="ar"/>
              </w:rPr>
              <w:t>分，得到市级考核一等奖加</w:t>
            </w:r>
            <w:r>
              <w:rPr>
                <w:color w:val="000000"/>
                <w:kern w:val="0"/>
                <w:sz w:val="18"/>
                <w:szCs w:val="18"/>
                <w:lang w:bidi="ar"/>
              </w:rPr>
              <w:t>1</w:t>
            </w:r>
            <w:r>
              <w:rPr>
                <w:rFonts w:hint="eastAsia" w:ascii="宋体" w:hAnsi="宋体" w:cs="宋体"/>
                <w:color w:val="000000"/>
                <w:kern w:val="0"/>
                <w:sz w:val="18"/>
                <w:szCs w:val="18"/>
                <w:lang w:bidi="ar"/>
              </w:rPr>
              <w:t>分，得到市级考核二等奖加</w:t>
            </w:r>
            <w:r>
              <w:rPr>
                <w:color w:val="000000"/>
                <w:kern w:val="0"/>
                <w:sz w:val="18"/>
                <w:szCs w:val="18"/>
                <w:lang w:bidi="ar"/>
              </w:rPr>
              <w:t>0.5</w:t>
            </w:r>
            <w:r>
              <w:rPr>
                <w:rFonts w:hint="eastAsia" w:ascii="宋体" w:hAnsi="宋体" w:cs="宋体"/>
                <w:color w:val="000000"/>
                <w:kern w:val="0"/>
                <w:sz w:val="18"/>
                <w:szCs w:val="18"/>
                <w:lang w:bidi="ar"/>
              </w:rPr>
              <w:t>分；同一项工作不累计加分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C036">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1项，2025年度南京市绩效考核学校位列第一等次</w:t>
            </w:r>
          </w:p>
        </w:tc>
      </w:tr>
      <w:tr w14:paraId="1C2B0EA0">
        <w:tblPrEx>
          <w:tblCellMar>
            <w:top w:w="0" w:type="dxa"/>
            <w:left w:w="108" w:type="dxa"/>
            <w:bottom w:w="0" w:type="dxa"/>
            <w:right w:w="108" w:type="dxa"/>
          </w:tblCellMar>
        </w:tblPrEx>
        <w:trPr>
          <w:trHeight w:val="400" w:hRule="atLeast"/>
          <w:tblHeader/>
        </w:trPr>
        <w:tc>
          <w:tcPr>
            <w:tcW w:w="1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F5A63">
            <w:pPr>
              <w:jc w:val="left"/>
              <w:rPr>
                <w:color w:val="000000"/>
                <w:sz w:val="18"/>
                <w:szCs w:val="18"/>
              </w:rPr>
            </w:pPr>
          </w:p>
        </w:tc>
        <w:tc>
          <w:tcPr>
            <w:tcW w:w="950" w:type="dxa"/>
            <w:tcBorders>
              <w:top w:val="single" w:color="000000" w:sz="4" w:space="0"/>
              <w:left w:val="single" w:color="000000" w:sz="4" w:space="0"/>
              <w:bottom w:val="nil"/>
              <w:right w:val="single" w:color="000000" w:sz="4" w:space="0"/>
            </w:tcBorders>
            <w:shd w:val="clear" w:color="auto" w:fill="auto"/>
            <w:noWrap/>
            <w:vAlign w:val="center"/>
          </w:tcPr>
          <w:p w14:paraId="3D4B7609">
            <w:pPr>
              <w:widowControl/>
              <w:jc w:val="center"/>
              <w:textAlignment w:val="center"/>
              <w:rPr>
                <w:color w:val="000000"/>
                <w:sz w:val="18"/>
                <w:szCs w:val="18"/>
              </w:rPr>
            </w:pPr>
            <w:r>
              <w:rPr>
                <w:color w:val="000000"/>
                <w:kern w:val="0"/>
                <w:sz w:val="18"/>
                <w:szCs w:val="18"/>
                <w:lang w:bidi="ar"/>
              </w:rPr>
              <w:t>F2</w:t>
            </w:r>
            <w:r>
              <w:rPr>
                <w:rFonts w:hint="eastAsia" w:ascii="宋体" w:hAnsi="宋体" w:cs="宋体"/>
                <w:color w:val="000000"/>
                <w:kern w:val="0"/>
                <w:sz w:val="18"/>
                <w:szCs w:val="18"/>
                <w:lang w:bidi="ar"/>
              </w:rPr>
              <w:t>减分项</w:t>
            </w:r>
          </w:p>
        </w:tc>
        <w:tc>
          <w:tcPr>
            <w:tcW w:w="3414" w:type="dxa"/>
            <w:gridSpan w:val="2"/>
            <w:tcBorders>
              <w:top w:val="single" w:color="000000" w:sz="4" w:space="0"/>
              <w:left w:val="single" w:color="000000" w:sz="4" w:space="0"/>
              <w:bottom w:val="nil"/>
              <w:right w:val="single" w:color="000000" w:sz="4" w:space="0"/>
            </w:tcBorders>
            <w:shd w:val="clear" w:color="auto" w:fill="auto"/>
            <w:noWrap/>
            <w:vAlign w:val="center"/>
          </w:tcPr>
          <w:p w14:paraId="12FC0A98">
            <w:pPr>
              <w:widowControl/>
              <w:jc w:val="center"/>
              <w:textAlignment w:val="center"/>
              <w:rPr>
                <w:color w:val="000000"/>
                <w:sz w:val="18"/>
                <w:szCs w:val="18"/>
              </w:rPr>
            </w:pPr>
            <w:r>
              <w:rPr>
                <w:color w:val="000000"/>
                <w:kern w:val="0"/>
                <w:sz w:val="18"/>
                <w:szCs w:val="18"/>
                <w:lang w:bidi="ar"/>
              </w:rPr>
              <w:t>F21</w:t>
            </w:r>
            <w:r>
              <w:rPr>
                <w:rFonts w:hint="eastAsia" w:ascii="宋体" w:hAnsi="宋体" w:cs="宋体"/>
                <w:color w:val="000000"/>
                <w:kern w:val="0"/>
                <w:sz w:val="18"/>
                <w:szCs w:val="18"/>
                <w:lang w:bidi="ar"/>
              </w:rPr>
              <w:t>本年度违法违纪</w:t>
            </w:r>
          </w:p>
        </w:tc>
        <w:tc>
          <w:tcPr>
            <w:tcW w:w="2776" w:type="dxa"/>
            <w:tcBorders>
              <w:top w:val="single" w:color="000000" w:sz="4" w:space="0"/>
              <w:left w:val="single" w:color="000000" w:sz="4" w:space="0"/>
              <w:bottom w:val="nil"/>
              <w:right w:val="single" w:color="000000" w:sz="4" w:space="0"/>
            </w:tcBorders>
            <w:shd w:val="clear" w:color="auto" w:fill="auto"/>
            <w:vAlign w:val="center"/>
          </w:tcPr>
          <w:p w14:paraId="6A2F1C1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部门（单位）或工作人员违法违纪</w:t>
            </w:r>
          </w:p>
        </w:tc>
        <w:tc>
          <w:tcPr>
            <w:tcW w:w="1100" w:type="dxa"/>
            <w:tcBorders>
              <w:top w:val="single" w:color="000000" w:sz="4" w:space="0"/>
              <w:left w:val="single" w:color="000000" w:sz="4" w:space="0"/>
              <w:bottom w:val="nil"/>
              <w:right w:val="single" w:color="000000" w:sz="4" w:space="0"/>
            </w:tcBorders>
            <w:shd w:val="clear" w:color="auto" w:fill="auto"/>
            <w:vAlign w:val="center"/>
          </w:tcPr>
          <w:p w14:paraId="2C55AB5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0</w:t>
            </w:r>
          </w:p>
        </w:tc>
        <w:tc>
          <w:tcPr>
            <w:tcW w:w="1340" w:type="dxa"/>
            <w:tcBorders>
              <w:top w:val="single" w:color="000000" w:sz="4" w:space="0"/>
              <w:left w:val="single" w:color="000000" w:sz="4" w:space="0"/>
              <w:bottom w:val="nil"/>
              <w:right w:val="single" w:color="000000" w:sz="4" w:space="0"/>
            </w:tcBorders>
            <w:shd w:val="clear" w:color="auto" w:fill="auto"/>
            <w:noWrap/>
            <w:vAlign w:val="center"/>
          </w:tcPr>
          <w:p w14:paraId="6D9C2F81">
            <w:pPr>
              <w:widowControl/>
              <w:jc w:val="center"/>
              <w:textAlignment w:val="center"/>
              <w:rPr>
                <w:color w:val="000000"/>
                <w:sz w:val="18"/>
                <w:szCs w:val="18"/>
              </w:rPr>
            </w:pPr>
            <w:r>
              <w:rPr>
                <w:color w:val="000000"/>
                <w:kern w:val="0"/>
                <w:sz w:val="18"/>
                <w:szCs w:val="18"/>
                <w:lang w:bidi="ar"/>
              </w:rPr>
              <w:t>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5975">
            <w:pPr>
              <w:widowControl/>
              <w:jc w:val="center"/>
              <w:textAlignment w:val="center"/>
              <w:rPr>
                <w:color w:val="000000"/>
                <w:sz w:val="18"/>
                <w:szCs w:val="18"/>
              </w:rPr>
            </w:pPr>
            <w:r>
              <w:rPr>
                <w:color w:val="000000"/>
                <w:kern w:val="0"/>
                <w:sz w:val="18"/>
                <w:szCs w:val="18"/>
                <w:lang w:bidi="ar"/>
              </w:rPr>
              <w:t>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F9F11">
            <w:pPr>
              <w:widowControl/>
              <w:jc w:val="center"/>
              <w:textAlignment w:val="center"/>
              <w:rPr>
                <w:color w:val="000000"/>
                <w:sz w:val="18"/>
                <w:szCs w:val="18"/>
              </w:rPr>
            </w:pPr>
            <w:r>
              <w:rPr>
                <w:color w:val="000000"/>
                <w:kern w:val="0"/>
                <w:sz w:val="18"/>
                <w:szCs w:val="18"/>
                <w:lang w:bidi="ar"/>
              </w:rPr>
              <w:t>0</w:t>
            </w:r>
          </w:p>
        </w:tc>
        <w:tc>
          <w:tcPr>
            <w:tcW w:w="2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268B">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酌情扣分</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7465">
            <w:pPr>
              <w:rPr>
                <w:rFonts w:ascii="宋体" w:hAnsi="宋体" w:cs="宋体"/>
                <w:color w:val="000000"/>
                <w:sz w:val="18"/>
                <w:szCs w:val="18"/>
              </w:rPr>
            </w:pPr>
          </w:p>
        </w:tc>
      </w:tr>
      <w:tr w14:paraId="54C0509C">
        <w:tblPrEx>
          <w:tblCellMar>
            <w:top w:w="0" w:type="dxa"/>
            <w:left w:w="108" w:type="dxa"/>
            <w:bottom w:w="0" w:type="dxa"/>
            <w:right w:w="108" w:type="dxa"/>
          </w:tblCellMar>
        </w:tblPrEx>
        <w:trPr>
          <w:trHeight w:val="400" w:hRule="atLeast"/>
          <w:tblHeader/>
        </w:trPr>
        <w:tc>
          <w:tcPr>
            <w:tcW w:w="1058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D1FD">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合计</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0A3C9">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3DCC">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lang w:bidi="ar"/>
              </w:rPr>
              <w:t>100.97</w:t>
            </w:r>
          </w:p>
        </w:tc>
        <w:tc>
          <w:tcPr>
            <w:tcW w:w="2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848A">
            <w:pPr>
              <w:jc w:val="center"/>
              <w:rPr>
                <w:rFonts w:ascii="宋体" w:hAnsi="宋体" w:cs="宋体"/>
                <w:b/>
                <w:bCs/>
                <w:color w:val="000000"/>
                <w:sz w:val="18"/>
                <w:szCs w:val="18"/>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7C46">
            <w:pPr>
              <w:jc w:val="center"/>
              <w:rPr>
                <w:rFonts w:ascii="宋体" w:hAnsi="宋体" w:cs="宋体"/>
                <w:b/>
                <w:bCs/>
                <w:color w:val="000000"/>
                <w:sz w:val="18"/>
                <w:szCs w:val="18"/>
              </w:rPr>
            </w:pPr>
          </w:p>
        </w:tc>
      </w:tr>
      <w:bookmarkEnd w:id="1"/>
    </w:tbl>
    <w:p w14:paraId="70E15FF0">
      <w:pPr>
        <w:rPr>
          <w:rFonts w:eastAsia="仿宋" w:cs="仿宋"/>
          <w:b/>
          <w:bCs/>
          <w:sz w:val="32"/>
          <w:szCs w:val="32"/>
          <w:u w:val="single"/>
        </w:rPr>
      </w:pPr>
      <w:bookmarkStart w:id="2" w:name="_GoBack"/>
      <w:bookmarkEnd w:id="2"/>
    </w:p>
    <w:sectPr>
      <w:footerReference r:id="rId4" w:type="default"/>
      <w:pgSz w:w="16839" w:h="11907" w:orient="landscape"/>
      <w:pgMar w:top="1134" w:right="850" w:bottom="1134" w:left="85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722C43-1261-4A3F-A427-D3AE354632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2" w:fontKey="{68990436-2553-4A18-AADC-CF5E63B8638B}"/>
  </w:font>
  <w:font w:name="方正大标宋简体">
    <w:panose1 w:val="02000000000000000000"/>
    <w:charset w:val="86"/>
    <w:family w:val="script"/>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3" w:fontKey="{88482829-B686-4A21-8EA5-292EBAD20599}"/>
  </w:font>
  <w:font w:name="仿宋_GB2312">
    <w:panose1 w:val="02010609030101010101"/>
    <w:charset w:val="86"/>
    <w:family w:val="modern"/>
    <w:pitch w:val="default"/>
    <w:sig w:usb0="00000001" w:usb1="080E0000" w:usb2="00000000" w:usb3="00000000" w:csb0="00040000" w:csb1="00000000"/>
    <w:embedRegular r:id="rId4" w:fontKey="{4B2D21A8-D008-450F-B332-2D3825520AAA}"/>
  </w:font>
  <w:font w:name="仿宋">
    <w:panose1 w:val="02010609060101010101"/>
    <w:charset w:val="86"/>
    <w:family w:val="modern"/>
    <w:pitch w:val="default"/>
    <w:sig w:usb0="800002BF" w:usb1="38CF7CFA" w:usb2="00000016" w:usb3="00000000" w:csb0="00040001" w:csb1="00000000"/>
    <w:embedRegular r:id="rId5" w:fontKey="{2A5D0768-70EF-4086-9A21-255ACD8474A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CEE9B">
    <w:pPr>
      <w:pStyle w:val="3"/>
      <w:jc w:val="center"/>
      <w:rPr>
        <w:rFonts w:asciiTheme="minorEastAsia" w:hAnsiTheme="minorEastAsia"/>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9F68A">
                          <w:pPr>
                            <w:pStyle w:val="3"/>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C9F68A">
                    <w:pPr>
                      <w:pStyle w:val="3"/>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p w14:paraId="30EAA35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E0DF8">
    <w:pPr>
      <w:pStyle w:val="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441703">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6441703">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16</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p w14:paraId="002AE27A">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4MzUxZjgyZjBjNjIzMzY2MjgyM2U0MDMxNmIxZTcifQ=="/>
  </w:docVars>
  <w:rsids>
    <w:rsidRoot w:val="00E02563"/>
    <w:rsid w:val="00041C46"/>
    <w:rsid w:val="000423CC"/>
    <w:rsid w:val="0008578A"/>
    <w:rsid w:val="000B5AF1"/>
    <w:rsid w:val="000D7CC2"/>
    <w:rsid w:val="000E1728"/>
    <w:rsid w:val="000F0503"/>
    <w:rsid w:val="00115F71"/>
    <w:rsid w:val="001202A0"/>
    <w:rsid w:val="001268A2"/>
    <w:rsid w:val="001469FF"/>
    <w:rsid w:val="00194501"/>
    <w:rsid w:val="00195684"/>
    <w:rsid w:val="001963E9"/>
    <w:rsid w:val="001A4F85"/>
    <w:rsid w:val="001B4252"/>
    <w:rsid w:val="001B52BA"/>
    <w:rsid w:val="001B6FC6"/>
    <w:rsid w:val="001D76CB"/>
    <w:rsid w:val="001E6EBF"/>
    <w:rsid w:val="00206724"/>
    <w:rsid w:val="00210D20"/>
    <w:rsid w:val="00212113"/>
    <w:rsid w:val="00232037"/>
    <w:rsid w:val="00233AD4"/>
    <w:rsid w:val="00256AA1"/>
    <w:rsid w:val="002826CF"/>
    <w:rsid w:val="002B0EB2"/>
    <w:rsid w:val="002C205D"/>
    <w:rsid w:val="002C73FA"/>
    <w:rsid w:val="00301095"/>
    <w:rsid w:val="00304590"/>
    <w:rsid w:val="00305B45"/>
    <w:rsid w:val="00310FA5"/>
    <w:rsid w:val="00320CE9"/>
    <w:rsid w:val="0032486F"/>
    <w:rsid w:val="00324AB9"/>
    <w:rsid w:val="00365206"/>
    <w:rsid w:val="003678A7"/>
    <w:rsid w:val="00371CE3"/>
    <w:rsid w:val="00377F1A"/>
    <w:rsid w:val="00380412"/>
    <w:rsid w:val="003945CF"/>
    <w:rsid w:val="003A14CD"/>
    <w:rsid w:val="003D6211"/>
    <w:rsid w:val="003F4581"/>
    <w:rsid w:val="004070BB"/>
    <w:rsid w:val="0040779D"/>
    <w:rsid w:val="00420B26"/>
    <w:rsid w:val="00424D50"/>
    <w:rsid w:val="00431713"/>
    <w:rsid w:val="00431FCE"/>
    <w:rsid w:val="004347AC"/>
    <w:rsid w:val="004476B3"/>
    <w:rsid w:val="00486A45"/>
    <w:rsid w:val="00487CEB"/>
    <w:rsid w:val="004A3445"/>
    <w:rsid w:val="004C1C32"/>
    <w:rsid w:val="004D637B"/>
    <w:rsid w:val="004D7318"/>
    <w:rsid w:val="00501C48"/>
    <w:rsid w:val="00514047"/>
    <w:rsid w:val="005259A5"/>
    <w:rsid w:val="0052636F"/>
    <w:rsid w:val="00537625"/>
    <w:rsid w:val="00545776"/>
    <w:rsid w:val="00556B16"/>
    <w:rsid w:val="00564597"/>
    <w:rsid w:val="00570650"/>
    <w:rsid w:val="005B0C5B"/>
    <w:rsid w:val="005F1594"/>
    <w:rsid w:val="0060148B"/>
    <w:rsid w:val="00603518"/>
    <w:rsid w:val="00646697"/>
    <w:rsid w:val="0066115B"/>
    <w:rsid w:val="00662C5B"/>
    <w:rsid w:val="00685709"/>
    <w:rsid w:val="006877B1"/>
    <w:rsid w:val="00690226"/>
    <w:rsid w:val="00690F5E"/>
    <w:rsid w:val="00696DBA"/>
    <w:rsid w:val="006A0489"/>
    <w:rsid w:val="006A4878"/>
    <w:rsid w:val="006B6B5C"/>
    <w:rsid w:val="006D5263"/>
    <w:rsid w:val="007037E6"/>
    <w:rsid w:val="00710F56"/>
    <w:rsid w:val="007144E9"/>
    <w:rsid w:val="00721693"/>
    <w:rsid w:val="007227D5"/>
    <w:rsid w:val="0073546E"/>
    <w:rsid w:val="007479B0"/>
    <w:rsid w:val="00772BFC"/>
    <w:rsid w:val="00774212"/>
    <w:rsid w:val="00776B6D"/>
    <w:rsid w:val="00780A0C"/>
    <w:rsid w:val="007920CA"/>
    <w:rsid w:val="00796EAC"/>
    <w:rsid w:val="007B19B8"/>
    <w:rsid w:val="007B5E1B"/>
    <w:rsid w:val="007C63A8"/>
    <w:rsid w:val="007F3610"/>
    <w:rsid w:val="00813FA3"/>
    <w:rsid w:val="00820066"/>
    <w:rsid w:val="008309CE"/>
    <w:rsid w:val="00834979"/>
    <w:rsid w:val="00834A5C"/>
    <w:rsid w:val="0084376D"/>
    <w:rsid w:val="008451F8"/>
    <w:rsid w:val="008712B8"/>
    <w:rsid w:val="008B41A9"/>
    <w:rsid w:val="008B492B"/>
    <w:rsid w:val="008C13D6"/>
    <w:rsid w:val="008C2CCF"/>
    <w:rsid w:val="008C61D0"/>
    <w:rsid w:val="008D12A9"/>
    <w:rsid w:val="009536F9"/>
    <w:rsid w:val="00956861"/>
    <w:rsid w:val="00962FA7"/>
    <w:rsid w:val="00964123"/>
    <w:rsid w:val="009A0A7E"/>
    <w:rsid w:val="009A0D6F"/>
    <w:rsid w:val="009B6EEC"/>
    <w:rsid w:val="009B754E"/>
    <w:rsid w:val="009B7B2E"/>
    <w:rsid w:val="009C35A8"/>
    <w:rsid w:val="009D2847"/>
    <w:rsid w:val="009F7CB3"/>
    <w:rsid w:val="00A029A0"/>
    <w:rsid w:val="00A03ED2"/>
    <w:rsid w:val="00A16C8B"/>
    <w:rsid w:val="00A17253"/>
    <w:rsid w:val="00A21B1C"/>
    <w:rsid w:val="00A578E2"/>
    <w:rsid w:val="00A8137F"/>
    <w:rsid w:val="00A85A5F"/>
    <w:rsid w:val="00AB521D"/>
    <w:rsid w:val="00AF5631"/>
    <w:rsid w:val="00AF7A49"/>
    <w:rsid w:val="00B05BF9"/>
    <w:rsid w:val="00B071F8"/>
    <w:rsid w:val="00B2619E"/>
    <w:rsid w:val="00B277C8"/>
    <w:rsid w:val="00B31B1B"/>
    <w:rsid w:val="00B721FD"/>
    <w:rsid w:val="00B807BC"/>
    <w:rsid w:val="00B83FAC"/>
    <w:rsid w:val="00B94DAA"/>
    <w:rsid w:val="00BB0FDF"/>
    <w:rsid w:val="00BF1EA1"/>
    <w:rsid w:val="00C02D3D"/>
    <w:rsid w:val="00C0541F"/>
    <w:rsid w:val="00C05DDE"/>
    <w:rsid w:val="00C20E6D"/>
    <w:rsid w:val="00C34F8B"/>
    <w:rsid w:val="00C52667"/>
    <w:rsid w:val="00C5449B"/>
    <w:rsid w:val="00C91FAC"/>
    <w:rsid w:val="00C92229"/>
    <w:rsid w:val="00CA25C2"/>
    <w:rsid w:val="00D019B9"/>
    <w:rsid w:val="00D177CC"/>
    <w:rsid w:val="00D437DE"/>
    <w:rsid w:val="00D45B28"/>
    <w:rsid w:val="00D7772D"/>
    <w:rsid w:val="00D94308"/>
    <w:rsid w:val="00DA660D"/>
    <w:rsid w:val="00DB7D97"/>
    <w:rsid w:val="00DC4A28"/>
    <w:rsid w:val="00DE20F2"/>
    <w:rsid w:val="00E00ADB"/>
    <w:rsid w:val="00E02563"/>
    <w:rsid w:val="00E337AF"/>
    <w:rsid w:val="00E372D9"/>
    <w:rsid w:val="00E41328"/>
    <w:rsid w:val="00E42B83"/>
    <w:rsid w:val="00E50C60"/>
    <w:rsid w:val="00E559BF"/>
    <w:rsid w:val="00E73566"/>
    <w:rsid w:val="00E94697"/>
    <w:rsid w:val="00E9570A"/>
    <w:rsid w:val="00EA7DFB"/>
    <w:rsid w:val="00ED061B"/>
    <w:rsid w:val="00EE20A6"/>
    <w:rsid w:val="00EF01C8"/>
    <w:rsid w:val="00F266C3"/>
    <w:rsid w:val="00F323D1"/>
    <w:rsid w:val="00F431F5"/>
    <w:rsid w:val="00F51D99"/>
    <w:rsid w:val="00F62327"/>
    <w:rsid w:val="00F97370"/>
    <w:rsid w:val="00FC491C"/>
    <w:rsid w:val="00FC6ACD"/>
    <w:rsid w:val="00FD685B"/>
    <w:rsid w:val="00FE5256"/>
    <w:rsid w:val="012A2737"/>
    <w:rsid w:val="01653906"/>
    <w:rsid w:val="01A354B7"/>
    <w:rsid w:val="020B6A0C"/>
    <w:rsid w:val="022772BD"/>
    <w:rsid w:val="02946963"/>
    <w:rsid w:val="02CC72E3"/>
    <w:rsid w:val="03496151"/>
    <w:rsid w:val="03A001C7"/>
    <w:rsid w:val="04D06B95"/>
    <w:rsid w:val="050751B2"/>
    <w:rsid w:val="060221E5"/>
    <w:rsid w:val="06324F7C"/>
    <w:rsid w:val="064446FD"/>
    <w:rsid w:val="07070400"/>
    <w:rsid w:val="0708444D"/>
    <w:rsid w:val="0912378E"/>
    <w:rsid w:val="093A60B0"/>
    <w:rsid w:val="09BE4364"/>
    <w:rsid w:val="0A723ACB"/>
    <w:rsid w:val="0A9D0A64"/>
    <w:rsid w:val="0BD93E1D"/>
    <w:rsid w:val="0D814026"/>
    <w:rsid w:val="0DD24B9E"/>
    <w:rsid w:val="0E210476"/>
    <w:rsid w:val="0E941ED8"/>
    <w:rsid w:val="103115B0"/>
    <w:rsid w:val="11AB66FD"/>
    <w:rsid w:val="121F04CB"/>
    <w:rsid w:val="12CA7814"/>
    <w:rsid w:val="145970B0"/>
    <w:rsid w:val="146E3DC2"/>
    <w:rsid w:val="149A0675"/>
    <w:rsid w:val="14E05AD6"/>
    <w:rsid w:val="14ED4671"/>
    <w:rsid w:val="15A830E4"/>
    <w:rsid w:val="16946B78"/>
    <w:rsid w:val="16B07922"/>
    <w:rsid w:val="1740054F"/>
    <w:rsid w:val="1819409F"/>
    <w:rsid w:val="19FC7712"/>
    <w:rsid w:val="1A5D392E"/>
    <w:rsid w:val="1B811695"/>
    <w:rsid w:val="1B8258B9"/>
    <w:rsid w:val="1C606903"/>
    <w:rsid w:val="1D141671"/>
    <w:rsid w:val="1D1E6318"/>
    <w:rsid w:val="1EBD399D"/>
    <w:rsid w:val="1F5C21F2"/>
    <w:rsid w:val="203E057A"/>
    <w:rsid w:val="20934AF6"/>
    <w:rsid w:val="22B211CF"/>
    <w:rsid w:val="22F922A3"/>
    <w:rsid w:val="233C61AB"/>
    <w:rsid w:val="23892B04"/>
    <w:rsid w:val="23F563FA"/>
    <w:rsid w:val="24B94F4B"/>
    <w:rsid w:val="25B641F9"/>
    <w:rsid w:val="2746293A"/>
    <w:rsid w:val="28B1694E"/>
    <w:rsid w:val="28EB784B"/>
    <w:rsid w:val="29A547A1"/>
    <w:rsid w:val="29DF6E59"/>
    <w:rsid w:val="29F247FF"/>
    <w:rsid w:val="2A654896"/>
    <w:rsid w:val="2AD62FE9"/>
    <w:rsid w:val="2BA27B64"/>
    <w:rsid w:val="2C564BA9"/>
    <w:rsid w:val="2E75428D"/>
    <w:rsid w:val="2E972669"/>
    <w:rsid w:val="2FD66FEA"/>
    <w:rsid w:val="2FFF6947"/>
    <w:rsid w:val="301F7B92"/>
    <w:rsid w:val="30B665FE"/>
    <w:rsid w:val="30CA50F2"/>
    <w:rsid w:val="310C3ABB"/>
    <w:rsid w:val="31A83B6A"/>
    <w:rsid w:val="32322F91"/>
    <w:rsid w:val="32A1685B"/>
    <w:rsid w:val="336C4430"/>
    <w:rsid w:val="33A321F6"/>
    <w:rsid w:val="33FE167D"/>
    <w:rsid w:val="34AB77D3"/>
    <w:rsid w:val="359015FE"/>
    <w:rsid w:val="35C93F8B"/>
    <w:rsid w:val="36726520"/>
    <w:rsid w:val="37116E32"/>
    <w:rsid w:val="37A83C03"/>
    <w:rsid w:val="3847261A"/>
    <w:rsid w:val="387E0FDF"/>
    <w:rsid w:val="388B218B"/>
    <w:rsid w:val="38951CCD"/>
    <w:rsid w:val="395F16ED"/>
    <w:rsid w:val="398D7BA6"/>
    <w:rsid w:val="3A0B4B47"/>
    <w:rsid w:val="3A9607F4"/>
    <w:rsid w:val="3B866BC3"/>
    <w:rsid w:val="3C13795B"/>
    <w:rsid w:val="3C143ECB"/>
    <w:rsid w:val="3C9A6588"/>
    <w:rsid w:val="3CEC73B4"/>
    <w:rsid w:val="3D025451"/>
    <w:rsid w:val="3DC75184"/>
    <w:rsid w:val="3EAC4F55"/>
    <w:rsid w:val="401A28AB"/>
    <w:rsid w:val="40973A4B"/>
    <w:rsid w:val="40F63139"/>
    <w:rsid w:val="41A701CB"/>
    <w:rsid w:val="41D7769B"/>
    <w:rsid w:val="426B0C78"/>
    <w:rsid w:val="435C7ED2"/>
    <w:rsid w:val="43DA5DC4"/>
    <w:rsid w:val="43EE3122"/>
    <w:rsid w:val="44384737"/>
    <w:rsid w:val="445B18D4"/>
    <w:rsid w:val="449A4281"/>
    <w:rsid w:val="464744A8"/>
    <w:rsid w:val="46805F22"/>
    <w:rsid w:val="468658EF"/>
    <w:rsid w:val="46962BF9"/>
    <w:rsid w:val="46C65ABC"/>
    <w:rsid w:val="46DD5122"/>
    <w:rsid w:val="4987615D"/>
    <w:rsid w:val="4A3D667A"/>
    <w:rsid w:val="4AAF2038"/>
    <w:rsid w:val="4B0D6E84"/>
    <w:rsid w:val="4B962EF0"/>
    <w:rsid w:val="4BA55271"/>
    <w:rsid w:val="4C412BC2"/>
    <w:rsid w:val="4C666378"/>
    <w:rsid w:val="4CD04DE0"/>
    <w:rsid w:val="4D1B2E01"/>
    <w:rsid w:val="4D21479E"/>
    <w:rsid w:val="4D263701"/>
    <w:rsid w:val="4D952205"/>
    <w:rsid w:val="4DB326A1"/>
    <w:rsid w:val="4DFC78DC"/>
    <w:rsid w:val="4E2E20F0"/>
    <w:rsid w:val="50131BB5"/>
    <w:rsid w:val="506875D1"/>
    <w:rsid w:val="51192687"/>
    <w:rsid w:val="51795C4C"/>
    <w:rsid w:val="51E460EE"/>
    <w:rsid w:val="52F51ADB"/>
    <w:rsid w:val="5361332E"/>
    <w:rsid w:val="53AE3F97"/>
    <w:rsid w:val="53C923C3"/>
    <w:rsid w:val="5405592D"/>
    <w:rsid w:val="549C3FB9"/>
    <w:rsid w:val="54E71729"/>
    <w:rsid w:val="551750D6"/>
    <w:rsid w:val="5554799B"/>
    <w:rsid w:val="55AE324F"/>
    <w:rsid w:val="56C918E6"/>
    <w:rsid w:val="57417239"/>
    <w:rsid w:val="58003759"/>
    <w:rsid w:val="58BE268F"/>
    <w:rsid w:val="59AF152E"/>
    <w:rsid w:val="5A07437B"/>
    <w:rsid w:val="5BD47E4F"/>
    <w:rsid w:val="5CF0673C"/>
    <w:rsid w:val="5D8158C5"/>
    <w:rsid w:val="5DC60D17"/>
    <w:rsid w:val="607B1D2D"/>
    <w:rsid w:val="611A2DA3"/>
    <w:rsid w:val="61AA4CCD"/>
    <w:rsid w:val="62571F65"/>
    <w:rsid w:val="626C1F95"/>
    <w:rsid w:val="62D96F89"/>
    <w:rsid w:val="632F7564"/>
    <w:rsid w:val="63587E69"/>
    <w:rsid w:val="64346FE3"/>
    <w:rsid w:val="648E5DF9"/>
    <w:rsid w:val="65F22540"/>
    <w:rsid w:val="662F7992"/>
    <w:rsid w:val="66C5044D"/>
    <w:rsid w:val="67335249"/>
    <w:rsid w:val="678B0C3C"/>
    <w:rsid w:val="67A16B15"/>
    <w:rsid w:val="67CF1644"/>
    <w:rsid w:val="69AB5A13"/>
    <w:rsid w:val="69CF393E"/>
    <w:rsid w:val="69F83323"/>
    <w:rsid w:val="6B1A7612"/>
    <w:rsid w:val="6B3C35A5"/>
    <w:rsid w:val="6B645B98"/>
    <w:rsid w:val="6C083828"/>
    <w:rsid w:val="6C717BE0"/>
    <w:rsid w:val="6D075EA7"/>
    <w:rsid w:val="6D3C3EEA"/>
    <w:rsid w:val="6D6142C0"/>
    <w:rsid w:val="6DE67F75"/>
    <w:rsid w:val="6E7C5463"/>
    <w:rsid w:val="6F1853ED"/>
    <w:rsid w:val="6F262186"/>
    <w:rsid w:val="6F80660E"/>
    <w:rsid w:val="70972A32"/>
    <w:rsid w:val="71020D61"/>
    <w:rsid w:val="72343261"/>
    <w:rsid w:val="733237A1"/>
    <w:rsid w:val="738169B1"/>
    <w:rsid w:val="740E2F75"/>
    <w:rsid w:val="77DB491A"/>
    <w:rsid w:val="790910BB"/>
    <w:rsid w:val="7A863A82"/>
    <w:rsid w:val="7B276391"/>
    <w:rsid w:val="7BE56054"/>
    <w:rsid w:val="7C68033E"/>
    <w:rsid w:val="7C8525FC"/>
    <w:rsid w:val="7CBD49A0"/>
    <w:rsid w:val="7D562D9F"/>
    <w:rsid w:val="7E1D6B1D"/>
    <w:rsid w:val="7E1D6B54"/>
    <w:rsid w:val="7E2C241B"/>
    <w:rsid w:val="7E9D0555"/>
    <w:rsid w:val="7F2D361A"/>
    <w:rsid w:val="7F3816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qFormat/>
    <w:uiPriority w:val="99"/>
    <w:rPr>
      <w:color w:val="0000FF"/>
      <w:u w:val="single"/>
    </w:rPr>
  </w:style>
  <w:style w:type="character" w:customStyle="1" w:styleId="10">
    <w:name w:val="页眉 字符"/>
    <w:basedOn w:val="8"/>
    <w:link w:val="4"/>
    <w:semiHidden/>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附件栏"/>
    <w:basedOn w:val="1"/>
    <w:qFormat/>
    <w:uiPriority w:val="0"/>
    <w:pPr>
      <w:autoSpaceDE w:val="0"/>
      <w:autoSpaceDN w:val="0"/>
      <w:snapToGrid w:val="0"/>
      <w:spacing w:line="590" w:lineRule="atLeast"/>
      <w:ind w:firstLine="624"/>
    </w:pPr>
    <w:rPr>
      <w:rFonts w:eastAsia="方正仿宋_GBK"/>
      <w:snapToGrid w:val="0"/>
      <w:kern w:val="0"/>
      <w:sz w:val="32"/>
    </w:rPr>
  </w:style>
  <w:style w:type="character" w:customStyle="1" w:styleId="13">
    <w:name w:val="批注框文本 字符"/>
    <w:basedOn w:val="8"/>
    <w:link w:val="2"/>
    <w:semiHidden/>
    <w:qFormat/>
    <w:uiPriority w:val="99"/>
    <w:rPr>
      <w:kern w:val="2"/>
      <w:sz w:val="18"/>
      <w:szCs w:val="18"/>
    </w:rPr>
  </w:style>
  <w:style w:type="character" w:customStyle="1" w:styleId="14">
    <w:name w:val="font11"/>
    <w:basedOn w:val="8"/>
    <w:qFormat/>
    <w:uiPriority w:val="0"/>
    <w:rPr>
      <w:rFonts w:hint="default" w:ascii="Times New Roman" w:hAnsi="Times New Roman" w:cs="Times New Roman"/>
      <w:color w:val="000000"/>
      <w:sz w:val="20"/>
      <w:szCs w:val="20"/>
      <w:u w:val="none"/>
    </w:rPr>
  </w:style>
  <w:style w:type="character" w:customStyle="1" w:styleId="15">
    <w:name w:val="font21"/>
    <w:basedOn w:val="8"/>
    <w:qFormat/>
    <w:uiPriority w:val="0"/>
    <w:rPr>
      <w:rFonts w:hint="eastAsia" w:ascii="宋体" w:hAnsi="宋体" w:eastAsia="宋体" w:cs="宋体"/>
      <w:color w:val="000000"/>
      <w:sz w:val="20"/>
      <w:szCs w:val="20"/>
      <w:u w:val="none"/>
    </w:rPr>
  </w:style>
  <w:style w:type="paragraph" w:styleId="16">
    <w:name w:val="List Paragraph"/>
    <w:basedOn w:val="1"/>
    <w:unhideWhenUsed/>
    <w:qFormat/>
    <w:uiPriority w:val="99"/>
    <w:pPr>
      <w:ind w:firstLine="420" w:firstLineChars="200"/>
    </w:pPr>
  </w:style>
  <w:style w:type="character" w:customStyle="1" w:styleId="17">
    <w:name w:val="font41"/>
    <w:basedOn w:val="8"/>
    <w:qFormat/>
    <w:uiPriority w:val="0"/>
    <w:rPr>
      <w:rFonts w:hint="eastAsia" w:ascii="微软雅黑" w:hAnsi="微软雅黑" w:eastAsia="微软雅黑" w:cs="微软雅黑"/>
      <w:color w:val="000000"/>
      <w:sz w:val="36"/>
      <w:szCs w:val="36"/>
      <w:u w:val="none"/>
    </w:rPr>
  </w:style>
  <w:style w:type="character" w:customStyle="1" w:styleId="18">
    <w:name w:val="font51"/>
    <w:basedOn w:val="8"/>
    <w:qFormat/>
    <w:uiPriority w:val="0"/>
    <w:rPr>
      <w:rFonts w:ascii="方正大标宋简体" w:hAnsi="方正大标宋简体" w:eastAsia="方正大标宋简体" w:cs="方正大标宋简体"/>
      <w:color w:val="000000"/>
      <w:sz w:val="36"/>
      <w:szCs w:val="36"/>
      <w:u w:val="none"/>
    </w:rPr>
  </w:style>
  <w:style w:type="character" w:customStyle="1" w:styleId="19">
    <w:name w:val="font61"/>
    <w:basedOn w:val="8"/>
    <w:qFormat/>
    <w:uiPriority w:val="0"/>
    <w:rPr>
      <w:rFonts w:hint="default" w:ascii="Times New Roman" w:hAnsi="Times New Roman" w:cs="Times New Roman"/>
      <w:color w:val="000000"/>
      <w:sz w:val="18"/>
      <w:szCs w:val="18"/>
      <w:u w:val="none"/>
    </w:rPr>
  </w:style>
  <w:style w:type="character" w:customStyle="1" w:styleId="20">
    <w:name w:val="font91"/>
    <w:basedOn w:val="8"/>
    <w:qFormat/>
    <w:uiPriority w:val="0"/>
    <w:rPr>
      <w:rFonts w:hint="eastAsia" w:ascii="微软雅黑" w:hAnsi="微软雅黑" w:eastAsia="微软雅黑" w:cs="微软雅黑"/>
      <w:color w:val="000000"/>
      <w:sz w:val="18"/>
      <w:szCs w:val="18"/>
      <w:u w:val="none"/>
    </w:rPr>
  </w:style>
  <w:style w:type="character" w:customStyle="1" w:styleId="21">
    <w:name w:val="font81"/>
    <w:basedOn w:val="8"/>
    <w:qFormat/>
    <w:uiPriority w:val="0"/>
    <w:rPr>
      <w:rFonts w:hint="eastAsia" w:ascii="宋体" w:hAnsi="宋体" w:eastAsia="宋体" w:cs="宋体"/>
      <w:color w:val="000000"/>
      <w:sz w:val="18"/>
      <w:szCs w:val="18"/>
      <w:u w:val="none"/>
    </w:rPr>
  </w:style>
  <w:style w:type="character" w:customStyle="1" w:styleId="22">
    <w:name w:val="font01"/>
    <w:basedOn w:val="8"/>
    <w:qFormat/>
    <w:uiPriority w:val="0"/>
    <w:rPr>
      <w:rFonts w:hint="default" w:ascii="Times New Roman" w:hAnsi="Times New Roman" w:cs="Times New Roman"/>
      <w:color w:val="000000"/>
      <w:sz w:val="18"/>
      <w:szCs w:val="18"/>
      <w:u w:val="none"/>
    </w:rPr>
  </w:style>
  <w:style w:type="character" w:customStyle="1" w:styleId="23">
    <w:name w:val="font31"/>
    <w:basedOn w:val="8"/>
    <w:qFormat/>
    <w:uiPriority w:val="0"/>
    <w:rPr>
      <w:rFonts w:hint="eastAsia" w:ascii="宋体" w:hAnsi="宋体" w:eastAsia="宋体" w:cs="宋体"/>
      <w:color w:val="000000"/>
      <w:sz w:val="18"/>
      <w:szCs w:val="18"/>
      <w:u w:val="none"/>
    </w:rPr>
  </w:style>
  <w:style w:type="character" w:customStyle="1" w:styleId="24">
    <w:name w:val="font71"/>
    <w:basedOn w:val="8"/>
    <w:qFormat/>
    <w:uiPriority w:val="0"/>
    <w:rPr>
      <w:rFonts w:ascii="微软雅黑" w:hAnsi="微软雅黑" w:eastAsia="微软雅黑" w:cs="微软雅黑"/>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480e1ff6-974f-48e1-9c39-503d05430f41</errorID>
      <errorWord>是由</errorWord>
      <group>L1_Word</group>
      <groupName>字词问题</groupName>
      <ability>L2_Typo</ability>
      <abilityName>字词错误</abilityName>
      <candidateList>
        <item>是</item>
      </candidateList>
      <explain/>
      <paraID>631A23A1</paraID>
      <start>6</start>
      <end>8</end>
      <status>ignored</status>
      <modifiedWord/>
      <trackRevisions>false</trackRevisions>
    </reviewItem>
    <reviewItem>
      <errorID>b5e039bf-17b5-4c27-a8f7-296d69ef21b0</errorID>
      <errorWord>全日制</errorWord>
      <group>L1_Word</group>
      <groupName>字词问题</groupName>
      <ability>L2_Typo</ability>
      <abilityName>字词错误</abilityName>
      <candidateList>
        <item>的全日制</item>
      </candidateList>
      <explain/>
      <paraID>631A23A1</paraID>
      <start>22</start>
      <end>25</end>
      <status>ignored</status>
      <modifiedWord/>
      <trackRevisions>false</trackRevisions>
    </reviewItem>
    <reviewItem>
      <errorID>ddbee4b0-43ba-46e0-8a27-22d2bd014bab</errorID>
      <errorWord>力</errorWord>
      <group>L1_Word</group>
      <groupName>字词问题</groupName>
      <ability>L2_Typo</ability>
      <abilityName>字词错误</abilityName>
      <candidateList>
        <item>力于</item>
      </candidateList>
      <explain/>
      <paraID>3636861C</paraID>
      <start>3</start>
      <end>4</end>
      <status>ignored</status>
      <modifiedWord/>
      <trackRevisions>false</trackRevisions>
    </reviewItem>
    <reviewItem>
      <errorID>f1885287-6ca7-408e-9aec-ea0b4434c5c9</errorID>
      <errorWord>情况表</errorWord>
      <group>L1_Word</group>
      <groupName>字词问题</groupName>
      <ability>L2_Typo</ability>
      <abilityName>字词错误</abilityName>
      <candidateList>
        <item>情况</item>
      </candidateList>
      <explain/>
      <paraID>3B1F2905</paraID>
      <start>26</start>
      <end>29</end>
      <status>ignored</status>
      <modifiedWord/>
      <trackRevisions>false</trackRevisions>
    </reviewItem>
    <reviewItem>
      <errorID>6e40c0e8-b92a-40c5-a524-e4d30d36649e</errorID>
      <errorWord>建</errorWord>
      <group>L1_Word</group>
      <groupName>字词问题</groupName>
      <ability>L2_Typo</ability>
      <abilityName>字词错误</abilityName>
      <candidateList>
        <item>建设</item>
      </candidateList>
      <explain/>
      <paraID>39F2DF8D</paraID>
      <start>235</start>
      <end>236</end>
      <status>ignored</status>
      <modifiedWord/>
      <trackRevisions>false</trackRevisions>
    </reviewItem>
    <reviewItem>
      <errorID>70cbbead-a500-40dd-b5ea-f6919a21bc4c</errorID>
      <errorWord>以及</errorWord>
      <group>L1_Word</group>
      <groupName>字词问题</groupName>
      <ability>L2_Typo</ability>
      <abilityName>字词错误</abilityName>
      <candidateList>
        <item>，</item>
      </candidateList>
      <explain/>
      <paraID> BE39B5D</paraID>
      <start>60</start>
      <end>62</end>
      <status>ignored</status>
      <modifiedWord/>
      <trackRevisions>false</trackRevisions>
    </reviewItem>
    <reviewItem>
      <errorID>438029e5-d991-4673-bbab-4b0faf72b75d</errorID>
      <errorWord>健全的</errorWord>
      <group>L1_Word</group>
      <groupName>字词问题</groupName>
      <ability>L2_Typo</ability>
      <abilityName>字词错误</abilityName>
      <candidateList>
        <item>并健全</item>
      </candidateList>
      <explain/>
      <paraID>54E14BBD</paraID>
      <start>12</start>
      <end>15</end>
      <status>ignored</status>
      <modifiedWord/>
      <trackRevisions>false</trackRevisions>
    </reviewItem>
    <reviewItem>
      <errorID>14fa38e1-89d1-44b4-aba8-ef047e2db999</errorID>
      <errorWord>健全的</errorWord>
      <group>L1_Word</group>
      <groupName>字词问题</groupName>
      <ability>L2_Typo</ability>
      <abilityName>字词错误</abilityName>
      <candidateList>
        <item>并健全</item>
      </candidateList>
      <explain/>
      <paraID>54E14BBD</paraID>
      <start>110</start>
      <end>113</end>
      <status>ignored</status>
      <modifiedWord/>
      <trackRevisions>false</trackRevisions>
    </reviewItem>
    <reviewItem>
      <errorID>8fbf6c82-7b83-4b0d-9a31-486faee060af</errorID>
      <errorWord>健全的</errorWord>
      <group>L1_Word</group>
      <groupName>字词问题</groupName>
      <ability>L2_Typo</ability>
      <abilityName>字词错误</abilityName>
      <candidateList>
        <item>并健全</item>
      </candidateList>
      <explain/>
      <paraID>6223765D</paraID>
      <start>10</start>
      <end>13</end>
      <status>ignored</status>
      <modifiedWord/>
      <trackRevisions>false</trackRevisions>
    </reviewItem>
    <reviewItem>
      <errorID>02494a68-a5d2-4a0b-97a8-7e752ced6453</errorID>
      <errorWord>通过本年度</errorWord>
      <group>L1_Grammar</group>
      <groupName>语法问题</groupName>
      <ability>L2_Grammar</ability>
      <abilityName>语法错误</abilityName>
      <candidateList>
        <item>本年度</item>
      </candidateList>
      <explain/>
      <paraID>5B5A24D3</paraID>
      <start>9</start>
      <end>14</end>
      <status>ignored</status>
      <modifiedWord/>
      <trackRevisions>false</trackRevisions>
    </reviewItem>
    <reviewItem>
      <errorID>9994d013-c7e5-4f7c-b3ea-c4073fb8b136</errorID>
      <errorWord>对</errorWord>
      <group>L1_Grammar</group>
      <groupName>语法问题</groupName>
      <ability>L2_Grammar</ability>
      <abilityName>语法错误</abilityName>
      <candidateList>
        <item>显著提升了</item>
      </candidateList>
      <explain/>
      <paraID>5B5A24D3</paraID>
      <start>23</start>
      <end>24</end>
      <status>ignored</status>
      <modifiedWord/>
      <trackRevisions>false</trackRevisions>
    </reviewItem>
    <reviewItem>
      <errorID>dad6b22d-e2af-4a75-82f9-98d4c3ec6af6</errorID>
      <errorWord>水平的提升显著</errorWord>
      <group>L1_Grammar</group>
      <groupName>语法问题</groupName>
      <ability>L2_Grammar</ability>
      <abilityName>语法错误</abilityName>
      <candidateList>
        <item>水平</item>
      </candidateList>
      <explain/>
      <paraID>5B5A24D3</paraID>
      <start>33</start>
      <end>40</end>
      <status>ignored</status>
      <modifiedWord/>
      <trackRevisions>false</trackRevisions>
    </reviewItem>
    <reviewItem>
      <errorID>2ef4879b-69dc-4f0b-bf5d-db0d445300b4</errorID>
      <errorWord>在</errorWord>
      <group>L1_Word</group>
      <groupName>字词问题</groupName>
      <ability>L2_Typo</ability>
      <abilityName>字词错误</abilityName>
      <candidateList>
        <item>放在</item>
      </candidateList>
      <explain/>
      <paraID>59449152</paraID>
      <start>203</start>
      <end>205</end>
      <status>modified</status>
      <modifiedWord>放在</modifiedWord>
      <trackRevisions>false</trackRevisions>
    </reviewItem>
    <reviewItem>
      <errorID>109b8acf-d837-4a6b-94e9-3817d0a46ce8</errorID>
      <errorWord>得分</errorWord>
      <group>L1_Punc</group>
      <groupName>标点问题</groupName>
      <ability>L2_Punc_CN</ability>
      <abilityName>标点符号问题</abilityName>
      <candidateList>
        <item>得分。</item>
      </candidateList>
      <explain/>
      <paraID> C1AE0E1</paraID>
      <start>18</start>
      <end>20</end>
      <status>ignored</status>
      <modifiedWord/>
      <trackRevisions>false</trackRevisions>
    </reviewItem>
    <reviewItem>
      <errorID>9259aa9d-b468-4299-80fe-d94fb7320641</errorID>
      <errorWord>得分</errorWord>
      <group>L1_Punc</group>
      <groupName>标点问题</groupName>
      <ability>L2_Punc_CN</ability>
      <abilityName>标点符号问题</abilityName>
      <candidateList>
        <item>得分。</item>
      </candidateList>
      <explain/>
      <paraID>47555DBF</paraID>
      <start>22</start>
      <end>24</end>
      <status>ignored</status>
      <modifiedWord/>
      <trackRevisions>false</trackRevisions>
    </reviewItem>
    <reviewItem>
      <errorID>e7df82e2-3b34-45d7-861a-8bc92b50e9b6</errorID>
      <errorWord>得分</errorWord>
      <group>L1_Punc</group>
      <groupName>标点问题</groupName>
      <ability>L2_Punc_CN</ability>
      <abilityName>标点符号问题</abilityName>
      <candidateList>
        <item>得分。</item>
      </candidateList>
      <explain/>
      <paraID>6C78B66D</paraID>
      <start>20</start>
      <end>22</end>
      <status>ignored</status>
      <modifiedWord/>
      <trackRevisions>false</trackRevisions>
    </reviewItem>
    <reviewItem>
      <errorID>fbe6e75e-06d6-4d3b-9a44-6b1a03755ff5</errorID>
      <errorWord>得分</errorWord>
      <group>L1_Punc</group>
      <groupName>标点问题</groupName>
      <ability>L2_Punc_CN</ability>
      <abilityName>标点符号问题</abilityName>
      <candidateList>
        <item>得分。</item>
      </candidateList>
      <explain/>
      <paraID> B6E3743</paraID>
      <start>20</start>
      <end>22</end>
      <status>ignored</status>
      <modifiedWord/>
      <trackRevisions>false</trackRevisions>
    </reviewItem>
    <reviewItem>
      <errorID>996914d4-069c-481e-b695-167cce3769e5</errorID>
      <errorWord>得分</errorWord>
      <group>L1_Punc</group>
      <groupName>标点问题</groupName>
      <ability>L2_Punc_CN</ability>
      <abilityName>标点符号问题</abilityName>
      <candidateList>
        <item>得分。</item>
      </candidateList>
      <explain/>
      <paraID>18627B6B</paraID>
      <start>18</start>
      <end>20</end>
      <status>ignored</status>
      <modifiedWord/>
      <trackRevisions>false</trackRevisions>
    </reviewItem>
    <reviewItem>
      <errorID>7933c853-4e78-4378-ba06-d50416640cf3</errorID>
      <errorWord>得分</errorWord>
      <group>L1_Punc</group>
      <groupName>标点问题</groupName>
      <ability>L2_Punc_CN</ability>
      <abilityName>标点符号问题</abilityName>
      <candidateList>
        <item>得分。</item>
      </candidateList>
      <explain/>
      <paraID>4F5AF10F</paraID>
      <start>20</start>
      <end>22</end>
      <status>ignored</status>
      <modifiedWord/>
      <trackRevisions>false</trackRevisions>
    </reviewItem>
    <reviewItem>
      <errorID>a316e37a-634a-4c2c-976d-ade30f9da58f</errorID>
      <errorWord>得分</errorWord>
      <group>L1_Punc</group>
      <groupName>标点问题</groupName>
      <ability>L2_Punc_CN</ability>
      <abilityName>标点符号问题</abilityName>
      <candidateList>
        <item>得分。</item>
      </candidateList>
      <explain/>
      <paraID>4304149E</paraID>
      <start>20</start>
      <end>22</end>
      <status>ignored</status>
      <modifiedWord/>
      <trackRevisions>false</trackRevisions>
    </reviewItem>
    <reviewItem>
      <errorID>14e91d2e-cb66-457b-9452-04172ea9d13a</errorID>
      <errorWord>得分</errorWord>
      <group>L1_Punc</group>
      <groupName>标点问题</groupName>
      <ability>L2_Punc_CN</ability>
      <abilityName>标点符号问题</abilityName>
      <candidateList>
        <item>得分。</item>
      </candidateList>
      <explain/>
      <paraID>7C50F200</paraID>
      <start>22</start>
      <end>24</end>
      <status>ignored</status>
      <modifiedWord/>
      <trackRevisions>false</trackRevisions>
    </reviewItem>
    <reviewItem>
      <errorID>8b9b6290-13f1-4c3c-a747-eb7d1b05ce46</errorID>
      <errorWord>得分</errorWord>
      <group>L1_Punc</group>
      <groupName>标点问题</groupName>
      <ability>L2_Punc_CN</ability>
      <abilityName>标点符号问题</abilityName>
      <candidateList>
        <item>得分。</item>
      </candidateList>
      <explain/>
      <paraID>297378C5</paraID>
      <start>22</start>
      <end>24</end>
      <status>ignored</status>
      <modifiedWord/>
      <trackRevisions>false</trackRevisions>
    </reviewItem>
    <reviewItem>
      <errorID>0a5087cc-e7b1-4ffb-aede-cb97a3edf39a</errorID>
      <errorWord>及时</errorWord>
      <group>L1_Word</group>
      <groupName>字词问题</groupName>
      <ability>L2_Typo</ability>
      <abilityName>字词错误</abilityName>
      <candidateList>
        <item>及</item>
      </candidateList>
      <explain/>
      <paraID>3192B5EA</paraID>
      <start>7</start>
      <end>9</end>
      <status>ignored</status>
      <modifiedWord/>
      <trackRevisions>false</trackRevisions>
    </reviewItem>
    <reviewItem>
      <errorID>cad00ee9-5f8e-4758-afa8-1e4555664a23</errorID>
      <errorWord>得分</errorWord>
      <group>L1_Punc</group>
      <groupName>标点问题</groupName>
      <ability>L2_Punc_CN</ability>
      <abilityName>标点符号问题</abilityName>
      <candidateList>
        <item>得分。</item>
      </candidateList>
      <explain/>
      <paraID>74BFA48F</paraID>
      <start>22</start>
      <end>24</end>
      <status>ignored</status>
      <modifiedWord/>
      <trackRevisions>false</trackRevisions>
    </reviewItem>
    <reviewItem>
      <errorID>3a684dff-a25b-4f36-8e9b-86dcf926d8ea</errorID>
      <errorWord>得分</errorWord>
      <group>L1_Punc</group>
      <groupName>标点问题</groupName>
      <ability>L2_Punc_CN</ability>
      <abilityName>标点符号问题</abilityName>
      <candidateList>
        <item>得分。</item>
      </candidateList>
      <explain/>
      <paraID>73705CF2</paraID>
      <start>17</start>
      <end>19</end>
      <status>ignored</status>
      <modifiedWord/>
      <trackRevisions>false</trackRevisions>
    </reviewItem>
    <reviewItem>
      <errorID>00fe0f31-a81e-47c5-ac6a-dbc96be8b665</errorID>
      <errorWord>得分</errorWord>
      <group>L1_Punc</group>
      <groupName>标点问题</groupName>
      <ability>L2_Punc_CN</ability>
      <abilityName>标点符号问题</abilityName>
      <candidateList>
        <item>得分。</item>
      </candidateList>
      <explain/>
      <paraID>5A590C0A</paraID>
      <start>17</start>
      <end>19</end>
      <status>ignored</status>
      <modifiedWord/>
      <trackRevisions>false</trackRevisions>
    </reviewItem>
    <reviewItem>
      <errorID>47d1c3cc-7543-4d95-8d21-2bd146e27561</errorID>
      <errorWord>得分</errorWord>
      <group>L1_Punc</group>
      <groupName>标点问题</groupName>
      <ability>L2_Punc_CN</ability>
      <abilityName>标点符号问题</abilityName>
      <candidateList>
        <item>得分。</item>
      </candidateList>
      <explain/>
      <paraID> 4C89055</paraID>
      <start>18</start>
      <end>20</end>
      <status>ignored</status>
      <modifiedWord/>
      <trackRevisions>false</trackRevisions>
    </reviewItem>
    <reviewItem>
      <errorID>9901b6fe-e17e-4099-999c-09c018f58c4a</errorID>
      <errorWord>得分</errorWord>
      <group>L1_Punc</group>
      <groupName>标点问题</groupName>
      <ability>L2_Punc_CN</ability>
      <abilityName>标点符号问题</abilityName>
      <candidateList>
        <item>得分。</item>
      </candidateList>
      <explain/>
      <paraID> 9D43CC0</paraID>
      <start>17</start>
      <end>19</end>
      <status>ignored</status>
      <modifiedWord/>
      <trackRevisions>false</trackRevisions>
    </reviewItem>
    <reviewItem>
      <errorID>5941f88e-4d30-4bba-8c5b-205c5e621f40</errorID>
      <errorWord>得分</errorWord>
      <group>L1_Punc</group>
      <groupName>标点问题</groupName>
      <ability>L2_Punc_CN</ability>
      <abilityName>标点符号问题</abilityName>
      <candidateList>
        <item>得分。</item>
      </candidateList>
      <explain/>
      <paraID>74B17C27</paraID>
      <start>18</start>
      <end>20</end>
      <status>ignored</status>
      <modifiedWord/>
      <trackRevisions>false</trackRevisions>
    </reviewItem>
    <reviewItem>
      <errorID>5302369c-4c02-4142-b821-9bb98fc298b4</errorID>
      <errorWord>得分</errorWord>
      <group>L1_Punc</group>
      <groupName>标点问题</groupName>
      <ability>L2_Punc_CN</ability>
      <abilityName>标点符号问题</abilityName>
      <candidateList>
        <item>得分。</item>
      </candidateList>
      <explain/>
      <paraID>77B078DD</paraID>
      <start>18</start>
      <end>20</end>
      <status>ignored</status>
      <modifiedWord/>
      <trackRevisions>false</trackRevisions>
    </reviewItem>
    <reviewItem>
      <errorID>144491e6-5270-40e7-b094-0e0b8ac8f9d8</errorID>
      <errorWord>得分</errorWord>
      <group>L1_Punc</group>
      <groupName>标点问题</groupName>
      <ability>L2_Punc_CN</ability>
      <abilityName>标点符号问题</abilityName>
      <candidateList>
        <item>得分。</item>
      </candidateList>
      <explain/>
      <paraID>674A0CF9</paraID>
      <start>18</start>
      <end>20</end>
      <status>ignored</status>
      <modifiedWord/>
      <trackRevisions>false</trackRevisions>
    </reviewItem>
    <reviewItem>
      <errorID>ada283d8-79ca-4113-b0de-dac8477fe73b</errorID>
      <errorWord>减分</errorWord>
      <group>L1_Punc</group>
      <groupName>标点问题</groupName>
      <ability>L2_Punc_CN</ability>
      <abilityName>标点符号问题</abilityName>
      <candidateList>
        <item>减分。</item>
      </candidateList>
      <explain/>
      <paraID>26389DF6</paraID>
      <start>14</start>
      <end>16</end>
      <status>ignored</status>
      <modifiedWord/>
      <trackRevisions>false</trackRevisions>
    </reviewItem>
    <reviewItem>
      <errorID>fb3af5da-bf37-495d-9625-63bcaca120db</errorID>
      <errorWord>减分</errorWord>
      <group>L1_Punc</group>
      <groupName>标点问题</groupName>
      <ability>L2_Punc_CN</ability>
      <abilityName>标点符号问题</abilityName>
      <candidateList>
        <item>减分。</item>
      </candidateList>
      <explain/>
      <paraID>302DA43D</paraID>
      <start>17</start>
      <end>19</end>
      <status>ignored</status>
      <modifiedWord/>
      <trackRevisions>false</trackRevisions>
    </reviewItem>
    <reviewItem>
      <errorID>bc8bdad7-e5fb-4b6e-9eeb-73301f1b43dc</errorID>
      <errorWord>收到</errorWord>
      <group>L1_Word</group>
      <groupName>字词问题</groupName>
      <ability>L2_Typo</ability>
      <abilityName>字词错误</abilityName>
      <candidateList>
        <item>受到</item>
      </candidateList>
      <explain/>
      <paraID>5AF85260</paraID>
      <start>6</start>
      <end>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9e1f1e-35ec-4ee9-a23c-10323d1c1fa8}">
  <ds:schemaRefs/>
</ds:datastoreItem>
</file>

<file path=docProps/app.xml><?xml version="1.0" encoding="utf-8"?>
<Properties xmlns="http://schemas.openxmlformats.org/officeDocument/2006/extended-properties" xmlns:vt="http://schemas.openxmlformats.org/officeDocument/2006/docPropsVTypes">
  <Template>Normal</Template>
  <Pages>19</Pages>
  <Words>9378</Words>
  <Characters>10220</Characters>
  <Lines>78</Lines>
  <Paragraphs>22</Paragraphs>
  <TotalTime>4</TotalTime>
  <ScaleCrop>false</ScaleCrop>
  <LinksUpToDate>false</LinksUpToDate>
  <CharactersWithSpaces>10226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2023-06-06T01:32:00Z</dcterms:created>
  <dc:creator>hp</dc:creator>
  <cp:lastModifiedBy>朝霞</cp:lastModifiedBy>
  <cp:lastPrinted>2026-09-18T01:48:00Z</cp:lastPrinted>
  <dcterms:modified xsi:type="dcterms:W3CDTF">2026-10-10T11:25:30Z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8AD11758FF974E5AB24354348FDE8EF1_13</vt:lpwstr>
  </property>
  <property fmtid="{D5CDD505-2E9C-101B-9397-08002B2CF9AE}" pid="4" name="KSOSaveFontToCloudKey">
    <vt:lpwstr>707314233_btnclosed</vt:lpwstr>
  </property>
  <property fmtid="{D5CDD505-2E9C-101B-9397-08002B2CF9AE}" pid="5" name="KSOTemplateDocerSaveRecord">
    <vt:lpwstr>eyJoZGlkIjoiNzY5ZDM3NjdiNDkzYzE5MDRmNWI3N2I2NzFjZTEwYzEiLCJ1c2VySWQiOiI0OTA4MTkxODgifQ==</vt:lpwstr>
  </property>
</Properties>
</file>